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F086" w14:textId="5016F7D6" w:rsidR="00B44AC5" w:rsidRDefault="003C7FB2" w:rsidP="00DA6B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</w:rPr>
      </w:pPr>
      <w:bookmarkStart w:id="0" w:name="_GoBack"/>
      <w:bookmarkEnd w:id="0"/>
      <w:r w:rsidRPr="00B44AC5">
        <w:rPr>
          <w:rFonts w:cstheme="minorHAnsi"/>
          <w:b/>
          <w:bCs/>
          <w:color w:val="000000" w:themeColor="text1"/>
          <w:sz w:val="28"/>
          <w:u w:val="single"/>
        </w:rPr>
        <w:t xml:space="preserve">Eigenerklärung von </w:t>
      </w:r>
      <w:r w:rsidR="001B6DA4">
        <w:rPr>
          <w:rFonts w:cstheme="minorHAnsi"/>
          <w:b/>
          <w:bCs/>
          <w:color w:val="000000" w:themeColor="text1"/>
          <w:sz w:val="28"/>
          <w:u w:val="single"/>
        </w:rPr>
        <w:t>Zuwendungsempfängern</w:t>
      </w:r>
      <w:r w:rsidRPr="00B44AC5">
        <w:rPr>
          <w:rFonts w:cstheme="minorHAnsi"/>
          <w:b/>
          <w:bCs/>
          <w:color w:val="000000" w:themeColor="text1"/>
          <w:sz w:val="28"/>
          <w:u w:val="single"/>
        </w:rPr>
        <w:t xml:space="preserve"> </w:t>
      </w:r>
      <w:r w:rsidR="00B44AC5">
        <w:rPr>
          <w:rFonts w:cstheme="minorHAnsi"/>
          <w:b/>
          <w:bCs/>
          <w:color w:val="000000" w:themeColor="text1"/>
          <w:sz w:val="28"/>
          <w:u w:val="single"/>
        </w:rPr>
        <w:br/>
      </w:r>
    </w:p>
    <w:p w14:paraId="58DB3B4A" w14:textId="7CFED25A" w:rsidR="00160D81" w:rsidRPr="00B44AC5" w:rsidRDefault="003C7FB2" w:rsidP="00E0317C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  <w:color w:val="000000" w:themeColor="text1"/>
          <w:sz w:val="28"/>
          <w:u w:val="single"/>
        </w:rPr>
      </w:pPr>
      <w:r w:rsidRPr="00B44AC5">
        <w:rPr>
          <w:rFonts w:cstheme="minorHAnsi"/>
          <w:b/>
          <w:bCs/>
          <w:color w:val="000000" w:themeColor="text1"/>
          <w:sz w:val="24"/>
        </w:rPr>
        <w:t xml:space="preserve">im Hinblick auf </w:t>
      </w:r>
      <w:r w:rsidR="00E4495F" w:rsidRPr="00B44AC5">
        <w:rPr>
          <w:rFonts w:cstheme="minorHAnsi"/>
          <w:b/>
          <w:bCs/>
          <w:color w:val="000000" w:themeColor="text1"/>
          <w:sz w:val="24"/>
        </w:rPr>
        <w:t>„sozioökonomische Schwerpunkt</w:t>
      </w:r>
      <w:r w:rsidR="001B6DA4">
        <w:rPr>
          <w:rFonts w:cstheme="minorHAnsi"/>
          <w:b/>
          <w:bCs/>
          <w:color w:val="000000" w:themeColor="text1"/>
          <w:sz w:val="24"/>
        </w:rPr>
        <w:t>e</w:t>
      </w:r>
      <w:r w:rsidR="00E4495F" w:rsidRPr="00B44AC5">
        <w:rPr>
          <w:rFonts w:cstheme="minorHAnsi"/>
          <w:b/>
          <w:bCs/>
          <w:color w:val="000000" w:themeColor="text1"/>
          <w:sz w:val="24"/>
        </w:rPr>
        <w:t xml:space="preserve">“, insbesondere </w:t>
      </w:r>
      <w:r w:rsidRPr="00B44AC5">
        <w:rPr>
          <w:rFonts w:cstheme="minorHAnsi"/>
          <w:b/>
          <w:bCs/>
          <w:color w:val="000000" w:themeColor="text1"/>
          <w:sz w:val="24"/>
        </w:rPr>
        <w:t xml:space="preserve">„Unternehmen 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>gemäß der</w:t>
      </w:r>
      <w:r w:rsidRPr="00B44AC5">
        <w:rPr>
          <w:rFonts w:cstheme="minorHAnsi"/>
          <w:b/>
          <w:bCs/>
          <w:color w:val="000000" w:themeColor="text1"/>
          <w:sz w:val="24"/>
        </w:rPr>
        <w:t xml:space="preserve"> KMU-Definition der EU-Kommission“ </w:t>
      </w:r>
      <w:r w:rsidR="001B6DA4">
        <w:rPr>
          <w:rFonts w:cstheme="minorHAnsi"/>
          <w:b/>
          <w:bCs/>
          <w:color w:val="000000" w:themeColor="text1"/>
          <w:sz w:val="24"/>
        </w:rPr>
        <w:t xml:space="preserve">und „landwirtschaftliche Betriebe“ </w:t>
      </w:r>
      <w:r w:rsidR="00E4495F" w:rsidRPr="00B44AC5">
        <w:rPr>
          <w:rFonts w:cstheme="minorHAnsi"/>
          <w:b/>
          <w:bCs/>
          <w:color w:val="000000" w:themeColor="text1"/>
          <w:sz w:val="24"/>
        </w:rPr>
        <w:t>nach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 xml:space="preserve"> Nr. 1.1 Absatz 2 </w:t>
      </w:r>
      <w:r w:rsidR="00DA6B20" w:rsidRPr="00B44AC5">
        <w:rPr>
          <w:rFonts w:cstheme="minorHAnsi"/>
          <w:b/>
          <w:bCs/>
          <w:color w:val="000000" w:themeColor="text1"/>
          <w:sz w:val="24"/>
        </w:rPr>
        <w:t>S</w:t>
      </w:r>
      <w:r w:rsidR="00DA6B20">
        <w:rPr>
          <w:rFonts w:cstheme="minorHAnsi"/>
          <w:b/>
          <w:bCs/>
          <w:color w:val="000000" w:themeColor="text1"/>
          <w:sz w:val="24"/>
        </w:rPr>
        <w:t>ätze</w:t>
      </w:r>
      <w:r w:rsidR="00DA6B20" w:rsidRPr="00B44AC5">
        <w:rPr>
          <w:rFonts w:cstheme="minorHAnsi"/>
          <w:b/>
          <w:bCs/>
          <w:color w:val="000000" w:themeColor="text1"/>
          <w:sz w:val="24"/>
        </w:rPr>
        <w:t xml:space="preserve"> 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>4</w:t>
      </w:r>
      <w:r w:rsidR="00DA6B20">
        <w:rPr>
          <w:rFonts w:cstheme="minorHAnsi"/>
          <w:b/>
          <w:bCs/>
          <w:color w:val="000000" w:themeColor="text1"/>
          <w:sz w:val="24"/>
        </w:rPr>
        <w:t xml:space="preserve"> und 5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 xml:space="preserve"> der Gigabit-Richtlinie des Bundes</w:t>
      </w:r>
    </w:p>
    <w:p w14:paraId="06AA741B" w14:textId="56CF50BD" w:rsidR="00403B87" w:rsidRDefault="00403B87" w:rsidP="00DA6B2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Im Zuge der Gigabitförderung </w:t>
      </w:r>
      <w:r w:rsidR="00146692">
        <w:rPr>
          <w:rFonts w:cstheme="minorHAnsi"/>
        </w:rPr>
        <w:t>nach</w:t>
      </w:r>
      <w:r>
        <w:rPr>
          <w:rFonts w:cstheme="minorHAnsi"/>
        </w:rPr>
        <w:t xml:space="preserve"> der </w:t>
      </w:r>
      <w:r w:rsidR="00503B57">
        <w:rPr>
          <w:rFonts w:cstheme="minorHAnsi"/>
        </w:rPr>
        <w:t>„</w:t>
      </w:r>
      <w:r w:rsidR="00503B57" w:rsidRPr="003C7FB2">
        <w:rPr>
          <w:rFonts w:cstheme="minorHAnsi"/>
        </w:rPr>
        <w:t>Rahmenregelung</w:t>
      </w:r>
      <w:r w:rsidR="00503B57">
        <w:rPr>
          <w:rFonts w:cstheme="minorHAnsi"/>
        </w:rPr>
        <w:t xml:space="preserve"> </w:t>
      </w:r>
      <w:r w:rsidR="00503B57" w:rsidRPr="003C7FB2">
        <w:rPr>
          <w:rFonts w:cstheme="minorHAnsi"/>
        </w:rPr>
        <w:t>der Bundesrepublik Deutschland</w:t>
      </w:r>
      <w:r w:rsidR="00503B57">
        <w:rPr>
          <w:rFonts w:cstheme="minorHAnsi"/>
        </w:rPr>
        <w:t xml:space="preserve"> </w:t>
      </w:r>
      <w:r w:rsidR="00503B57" w:rsidRPr="003C7FB2">
        <w:rPr>
          <w:rFonts w:cstheme="minorHAnsi"/>
        </w:rPr>
        <w:t>zur Unterstützung des flächendeckenden Aufbaus</w:t>
      </w:r>
      <w:r w:rsidR="00503B57">
        <w:rPr>
          <w:rFonts w:cstheme="minorHAnsi"/>
        </w:rPr>
        <w:t xml:space="preserve"> </w:t>
      </w:r>
      <w:r w:rsidR="00503B57" w:rsidRPr="003C7FB2">
        <w:rPr>
          <w:rFonts w:cstheme="minorHAnsi"/>
        </w:rPr>
        <w:t xml:space="preserve">von Gigabitnetzen in </w:t>
      </w:r>
      <w:r w:rsidR="00503B57">
        <w:rPr>
          <w:rFonts w:cstheme="minorHAnsi"/>
        </w:rPr>
        <w:t>‚</w:t>
      </w:r>
      <w:r w:rsidR="00503B57" w:rsidRPr="003C7FB2">
        <w:rPr>
          <w:rFonts w:cstheme="minorHAnsi"/>
        </w:rPr>
        <w:t>grauen Flecken</w:t>
      </w:r>
      <w:r w:rsidR="00503B57">
        <w:rPr>
          <w:rFonts w:cstheme="minorHAnsi"/>
        </w:rPr>
        <w:t>‘“</w:t>
      </w:r>
      <w:r w:rsidR="00503B57" w:rsidRPr="003C7FB2">
        <w:rPr>
          <w:rFonts w:cstheme="minorHAnsi"/>
        </w:rPr>
        <w:t xml:space="preserve"> </w:t>
      </w:r>
      <w:r w:rsidR="00503B57">
        <w:rPr>
          <w:rFonts w:cstheme="minorHAnsi"/>
        </w:rPr>
        <w:t>(</w:t>
      </w:r>
      <w:r w:rsidR="00503B57" w:rsidRPr="001C298B">
        <w:rPr>
          <w:rFonts w:cstheme="minorHAnsi"/>
        </w:rPr>
        <w:t>im Folgenden: „</w:t>
      </w:r>
      <w:r w:rsidR="00503B57">
        <w:rPr>
          <w:rFonts w:cstheme="minorHAnsi"/>
          <w:b/>
        </w:rPr>
        <w:t>Gigabit-RR</w:t>
      </w:r>
      <w:r w:rsidR="00503B57" w:rsidRPr="001C298B">
        <w:rPr>
          <w:rFonts w:cstheme="minorHAnsi"/>
        </w:rPr>
        <w:t xml:space="preserve">“) </w:t>
      </w:r>
      <w:r w:rsidR="00503B57">
        <w:rPr>
          <w:rFonts w:cstheme="minorHAnsi"/>
        </w:rPr>
        <w:t>sowie der Richtlinie</w:t>
      </w:r>
      <w:r w:rsidR="00503B57" w:rsidRPr="001C298B">
        <w:rPr>
          <w:rFonts w:cstheme="minorHAnsi"/>
        </w:rPr>
        <w:t xml:space="preserve"> „Förderung zur Unterstützung des Gigabitausbaus der Telekommunikationsnetze in der Bundesrepublik Deutschland“ (im Folgenden: „</w:t>
      </w:r>
      <w:r w:rsidR="00503B57">
        <w:rPr>
          <w:rFonts w:cstheme="minorHAnsi"/>
          <w:b/>
        </w:rPr>
        <w:t>Gigabit-Richtlinie</w:t>
      </w:r>
      <w:r w:rsidR="00503B57" w:rsidRPr="001C298B">
        <w:rPr>
          <w:rFonts w:cstheme="minorHAnsi"/>
        </w:rPr>
        <w:t xml:space="preserve">“) </w:t>
      </w:r>
      <w:r w:rsidR="0056711C">
        <w:rPr>
          <w:rFonts w:cstheme="minorHAnsi"/>
          <w:b/>
        </w:rPr>
        <w:t xml:space="preserve"> </w:t>
      </w:r>
      <w:r>
        <w:rPr>
          <w:rFonts w:cstheme="minorHAnsi"/>
        </w:rPr>
        <w:t>ist d</w:t>
      </w:r>
      <w:r w:rsidRPr="003C7FB2">
        <w:rPr>
          <w:rFonts w:cstheme="minorHAnsi"/>
        </w:rPr>
        <w:t>ie Erschließung sozioökonomischen Schwerpunkte im Sinne der Gigabit-Mitteilung</w:t>
      </w:r>
      <w:r w:rsidR="00ED7D09">
        <w:rPr>
          <w:rFonts w:cstheme="minorHAnsi"/>
        </w:rPr>
        <w:t xml:space="preserve"> der EU-Kommission</w:t>
      </w:r>
      <w:r>
        <w:rPr>
          <w:rStyle w:val="Funotenzeichen"/>
          <w:rFonts w:cstheme="minorHAnsi"/>
        </w:rPr>
        <w:footnoteReference w:id="1"/>
      </w:r>
      <w:r w:rsidRPr="003C7FB2">
        <w:rPr>
          <w:rFonts w:cstheme="minorHAnsi"/>
        </w:rPr>
        <w:t xml:space="preserve"> förderfähig, wenn das vorhandene oder das innerhalb der nächsten drei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Jahre geplante NGA-Netz eine Datenrate von weniger als 200 Mbit/s symmetrisch zuverlässig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zur Verfügung stellt</w:t>
      </w:r>
      <w:r>
        <w:rPr>
          <w:rFonts w:cstheme="minorHAnsi"/>
        </w:rPr>
        <w:t xml:space="preserve"> (§ 1 Abs</w:t>
      </w:r>
      <w:r w:rsidR="00741C50">
        <w:rPr>
          <w:rFonts w:cstheme="minorHAnsi"/>
        </w:rPr>
        <w:t>atz</w:t>
      </w:r>
      <w:r>
        <w:rPr>
          <w:rFonts w:cstheme="minorHAnsi"/>
        </w:rPr>
        <w:t xml:space="preserve"> 4 Gigabit-RR). Gemäß Nr. 1.1 Absatz 2</w:t>
      </w:r>
      <w:r w:rsidR="006553E1">
        <w:rPr>
          <w:rFonts w:cstheme="minorHAnsi"/>
        </w:rPr>
        <w:t xml:space="preserve"> und Nr. 5.2 Absatz 1</w:t>
      </w:r>
      <w:r>
        <w:rPr>
          <w:rFonts w:cstheme="minorHAnsi"/>
        </w:rPr>
        <w:t xml:space="preserve"> </w:t>
      </w:r>
      <w:r w:rsidR="0056711C">
        <w:rPr>
          <w:rFonts w:cstheme="minorHAnsi"/>
        </w:rPr>
        <w:t xml:space="preserve">Satz 1 </w:t>
      </w:r>
      <w:r w:rsidR="00E4495F">
        <w:rPr>
          <w:rFonts w:cstheme="minorHAnsi"/>
        </w:rPr>
        <w:t xml:space="preserve">der </w:t>
      </w:r>
      <w:r>
        <w:rPr>
          <w:rFonts w:cstheme="minorHAnsi"/>
        </w:rPr>
        <w:t xml:space="preserve">Gigabit-Richtlinie sind </w:t>
      </w:r>
      <w:r w:rsidRPr="003C7FB2">
        <w:rPr>
          <w:rFonts w:cstheme="minorHAnsi"/>
        </w:rPr>
        <w:t xml:space="preserve">in einer Gebietskörperschaft </w:t>
      </w:r>
      <w:r w:rsidR="006553E1">
        <w:rPr>
          <w:rFonts w:cstheme="minorHAnsi"/>
        </w:rPr>
        <w:t xml:space="preserve">auch </w:t>
      </w:r>
      <w:r w:rsidRPr="003C7FB2">
        <w:rPr>
          <w:rFonts w:cstheme="minorHAnsi"/>
        </w:rPr>
        <w:t>alle sozioökonomischen Schwerpunkte, die nicht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gigabitfähig erschlossen sind bzw. in den nächsten drei Jahren erschlossen werden, förderfähig</w:t>
      </w:r>
      <w:r w:rsidR="006553E1">
        <w:rPr>
          <w:rFonts w:cstheme="minorHAnsi"/>
        </w:rPr>
        <w:t xml:space="preserve">, </w:t>
      </w:r>
      <w:r w:rsidRPr="003C7FB2">
        <w:rPr>
          <w:rFonts w:cstheme="minorHAnsi"/>
        </w:rPr>
        <w:t>wenn dort zugleich eine Erschließung nach Absatz 1</w:t>
      </w:r>
      <w:r>
        <w:rPr>
          <w:rFonts w:cstheme="minorHAnsi"/>
        </w:rPr>
        <w:t xml:space="preserve"> dieser Vorschrift</w:t>
      </w:r>
      <w:r w:rsidRPr="003C7FB2">
        <w:rPr>
          <w:rFonts w:cstheme="minorHAnsi"/>
        </w:rPr>
        <w:t xml:space="preserve"> erfolgt. </w:t>
      </w:r>
      <w:r>
        <w:rPr>
          <w:rFonts w:cstheme="minorHAnsi"/>
        </w:rPr>
        <w:t xml:space="preserve">Dem Begriff der sozioökonomischen Schwerpunkte unterfallen </w:t>
      </w:r>
      <w:r w:rsidRPr="003C7FB2">
        <w:rPr>
          <w:rFonts w:cstheme="minorHAnsi"/>
        </w:rPr>
        <w:t>in Anlehnung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an die KMU-Definition der EU</w:t>
      </w:r>
      <w:r>
        <w:rPr>
          <w:rFonts w:cstheme="minorHAnsi"/>
        </w:rPr>
        <w:t>-Kommission</w:t>
      </w:r>
      <w:r>
        <w:rPr>
          <w:rStyle w:val="Funotenzeichen"/>
          <w:rFonts w:cstheme="minorHAnsi"/>
        </w:rPr>
        <w:footnoteReference w:id="2"/>
      </w:r>
      <w:r w:rsidRPr="003C7FB2">
        <w:rPr>
          <w:rFonts w:cstheme="minorHAnsi"/>
        </w:rPr>
        <w:t xml:space="preserve"> </w:t>
      </w:r>
      <w:r>
        <w:rPr>
          <w:rFonts w:cstheme="minorHAnsi"/>
        </w:rPr>
        <w:t xml:space="preserve">auch </w:t>
      </w:r>
      <w:r w:rsidRPr="006553E1">
        <w:rPr>
          <w:rFonts w:cstheme="minorHAnsi"/>
        </w:rPr>
        <w:t>Unternehmen mit weniger als 125 Mitarbeitern und mit höchstens 25 Millionen Euro Jahresumsatz oder höchstens 21,5 Mi</w:t>
      </w:r>
      <w:r w:rsidR="000523AB" w:rsidRPr="006553E1">
        <w:rPr>
          <w:rFonts w:cstheme="minorHAnsi"/>
        </w:rPr>
        <w:t>llionen Euro</w:t>
      </w:r>
      <w:r w:rsidRPr="006553E1">
        <w:rPr>
          <w:rFonts w:cstheme="minorHAnsi"/>
        </w:rPr>
        <w:t xml:space="preserve"> Bilanzsumme, die mindestens drei Mitarbeiter beschäftigen.</w:t>
      </w:r>
      <w:r w:rsidR="00E2584E">
        <w:rPr>
          <w:rStyle w:val="Funotenzeichen"/>
          <w:rFonts w:cstheme="minorHAnsi"/>
        </w:rPr>
        <w:footnoteReference w:id="3"/>
      </w:r>
      <w:r w:rsidR="00DA6B20">
        <w:rPr>
          <w:rFonts w:cstheme="minorHAnsi"/>
        </w:rPr>
        <w:t xml:space="preserve"> Als </w:t>
      </w:r>
      <w:r w:rsidR="00DA6B20" w:rsidRPr="00DA6B20">
        <w:rPr>
          <w:rFonts w:cstheme="minorHAnsi"/>
        </w:rPr>
        <w:t xml:space="preserve">Unternehmen </w:t>
      </w:r>
      <w:r w:rsidR="00DA6B20">
        <w:rPr>
          <w:rFonts w:cstheme="minorHAnsi"/>
        </w:rPr>
        <w:t xml:space="preserve">gelten </w:t>
      </w:r>
      <w:r w:rsidR="00DA6B20" w:rsidRPr="00DA6B20">
        <w:rPr>
          <w:rFonts w:cstheme="minorHAnsi"/>
        </w:rPr>
        <w:t>wirtschaftliche Einheiten, die Gewerbesteuer zahlen oder beruflich selbständige Tätigkeiten</w:t>
      </w:r>
      <w:r w:rsidR="00DA6B20">
        <w:rPr>
          <w:rFonts w:cstheme="minorHAnsi"/>
        </w:rPr>
        <w:t xml:space="preserve"> </w:t>
      </w:r>
      <w:r w:rsidR="00DA6B20" w:rsidRPr="00DA6B20">
        <w:rPr>
          <w:rFonts w:cstheme="minorHAnsi"/>
        </w:rPr>
        <w:t>ausführen und landwirtschaftliche Betriebe</w:t>
      </w:r>
      <w:r w:rsidR="00DA6B20">
        <w:rPr>
          <w:rFonts w:cstheme="minorHAnsi"/>
        </w:rPr>
        <w:t xml:space="preserve">. </w:t>
      </w:r>
      <w:r w:rsidR="00DA6B20" w:rsidRPr="006553E1">
        <w:rPr>
          <w:rFonts w:cstheme="minorHAnsi"/>
        </w:rPr>
        <w:t>Landwirtschaftliche Betriebe sind unabhängig von der Mindest-Mitarbeiterzahl förderfähig.</w:t>
      </w:r>
    </w:p>
    <w:p w14:paraId="2AD4C4F3" w14:textId="77777777" w:rsidR="006553E1" w:rsidRDefault="006553E1" w:rsidP="006553E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Gemäß Nr. 8 B 2. der Gigabit-Richtlinie beantragt d</w:t>
      </w:r>
      <w:r w:rsidRPr="006553E1">
        <w:rPr>
          <w:rFonts w:cstheme="minorHAnsi"/>
        </w:rPr>
        <w:t>er Zuwendungsempfänger bei der Bewilligungsbehörde die Gewährung</w:t>
      </w:r>
      <w:r>
        <w:rPr>
          <w:rFonts w:cstheme="minorHAnsi"/>
        </w:rPr>
        <w:t xml:space="preserve"> </w:t>
      </w:r>
      <w:r w:rsidRPr="006553E1">
        <w:rPr>
          <w:rFonts w:cstheme="minorHAnsi"/>
        </w:rPr>
        <w:t>einer Förderung für den Gigabit-Ausbau eines Gebietes, das durch eine Karte</w:t>
      </w:r>
      <w:r>
        <w:rPr>
          <w:rFonts w:cstheme="minorHAnsi"/>
        </w:rPr>
        <w:t xml:space="preserve"> </w:t>
      </w:r>
      <w:r w:rsidRPr="006553E1">
        <w:rPr>
          <w:rFonts w:cstheme="minorHAnsi"/>
        </w:rPr>
        <w:t xml:space="preserve">adressgenau festgelegt wird und durch eine Adressliste substantiiert ist. </w:t>
      </w:r>
      <w:r>
        <w:rPr>
          <w:rFonts w:cstheme="minorHAnsi"/>
        </w:rPr>
        <w:t xml:space="preserve">Auch </w:t>
      </w:r>
      <w:r w:rsidRPr="006553E1">
        <w:rPr>
          <w:rFonts w:cstheme="minorHAnsi"/>
        </w:rPr>
        <w:t xml:space="preserve">die förderfähigen sozioökonomischen Schwerpunkte </w:t>
      </w:r>
      <w:r>
        <w:rPr>
          <w:rFonts w:cstheme="minorHAnsi"/>
        </w:rPr>
        <w:t xml:space="preserve">werden </w:t>
      </w:r>
      <w:r w:rsidRPr="006553E1">
        <w:rPr>
          <w:rFonts w:cstheme="minorHAnsi"/>
        </w:rPr>
        <w:t>adressgenau</w:t>
      </w:r>
      <w:r>
        <w:rPr>
          <w:rFonts w:cstheme="minorHAnsi"/>
        </w:rPr>
        <w:t xml:space="preserve"> </w:t>
      </w:r>
      <w:r w:rsidRPr="006553E1">
        <w:rPr>
          <w:rFonts w:cstheme="minorHAnsi"/>
        </w:rPr>
        <w:t xml:space="preserve">auf der Karte angegeben und als Adressliste vorgelegt. </w:t>
      </w:r>
      <w:r>
        <w:rPr>
          <w:rFonts w:cstheme="minorHAnsi"/>
        </w:rPr>
        <w:t xml:space="preserve">Nach Nr. 8 B 3. </w:t>
      </w:r>
      <w:r w:rsidRPr="004952E6">
        <w:rPr>
          <w:rFonts w:cstheme="minorHAnsi"/>
        </w:rPr>
        <w:t>der Gigabit-Richtlinie prüft die Bewilligungsbehörde die Förderfähigkeit auch der sozioökonomischen Schwerpunkte.</w:t>
      </w:r>
      <w:r>
        <w:rPr>
          <w:rFonts w:cstheme="minorHAnsi"/>
        </w:rPr>
        <w:t xml:space="preserve"> </w:t>
      </w:r>
    </w:p>
    <w:p w14:paraId="5A832B39" w14:textId="22390ABB" w:rsidR="00146692" w:rsidRDefault="006553E1" w:rsidP="006553E1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Zur Vereinfachung des Förderverwaltungsverfahrens </w:t>
      </w:r>
      <w:r w:rsidR="00766F12">
        <w:rPr>
          <w:rFonts w:cstheme="minorHAnsi"/>
        </w:rPr>
        <w:t>inkl. des</w:t>
      </w:r>
      <w:r>
        <w:rPr>
          <w:rFonts w:cstheme="minorHAnsi"/>
        </w:rPr>
        <w:t xml:space="preserve"> administrativen Aufwandes</w:t>
      </w:r>
      <w:r w:rsidR="00BE34A5">
        <w:rPr>
          <w:rFonts w:cstheme="minorHAnsi"/>
        </w:rPr>
        <w:t xml:space="preserve">, müssen die </w:t>
      </w:r>
      <w:r w:rsidR="00586137">
        <w:rPr>
          <w:rFonts w:cstheme="minorHAnsi"/>
        </w:rPr>
        <w:t>gemäß Ziff</w:t>
      </w:r>
      <w:r w:rsidR="00E260B3">
        <w:rPr>
          <w:rFonts w:cstheme="minorHAnsi"/>
        </w:rPr>
        <w:t>er</w:t>
      </w:r>
      <w:r w:rsidR="00586137">
        <w:rPr>
          <w:rFonts w:cstheme="minorHAnsi"/>
        </w:rPr>
        <w:t xml:space="preserve"> </w:t>
      </w:r>
      <w:r w:rsidR="00B11A98">
        <w:rPr>
          <w:rFonts w:cstheme="minorHAnsi"/>
        </w:rPr>
        <w:t xml:space="preserve">1.1, Absatz </w:t>
      </w:r>
      <w:r w:rsidR="00586137">
        <w:rPr>
          <w:rFonts w:cstheme="minorHAnsi"/>
        </w:rPr>
        <w:t>2</w:t>
      </w:r>
      <w:r w:rsidR="00B11A98">
        <w:rPr>
          <w:rFonts w:cstheme="minorHAnsi"/>
        </w:rPr>
        <w:t xml:space="preserve"> der Gigabit</w:t>
      </w:r>
      <w:r w:rsidR="00E260B3">
        <w:rPr>
          <w:rFonts w:cstheme="minorHAnsi"/>
        </w:rPr>
        <w:t>-R</w:t>
      </w:r>
      <w:r w:rsidR="00B11A98">
        <w:rPr>
          <w:rFonts w:cstheme="minorHAnsi"/>
        </w:rPr>
        <w:t>ichtlinie</w:t>
      </w:r>
      <w:r w:rsidR="00BE34A5">
        <w:rPr>
          <w:rFonts w:cstheme="minorHAnsi"/>
        </w:rPr>
        <w:t xml:space="preserve"> </w:t>
      </w:r>
      <w:r w:rsidR="00B11A98">
        <w:rPr>
          <w:rFonts w:cstheme="minorHAnsi"/>
        </w:rPr>
        <w:t>unterversorgten</w:t>
      </w:r>
      <w:r>
        <w:rPr>
          <w:rFonts w:cstheme="minorHAnsi"/>
        </w:rPr>
        <w:t xml:space="preserve"> Unternehmen und landwirtschaftliche Betriebe </w:t>
      </w:r>
      <w:r w:rsidR="00E968BD">
        <w:rPr>
          <w:rFonts w:cstheme="minorHAnsi"/>
        </w:rPr>
        <w:t xml:space="preserve">die </w:t>
      </w:r>
      <w:r w:rsidR="00E97E31">
        <w:rPr>
          <w:rFonts w:cstheme="minorHAnsi"/>
        </w:rPr>
        <w:t>„</w:t>
      </w:r>
      <w:r>
        <w:rPr>
          <w:rFonts w:cstheme="minorHAnsi"/>
        </w:rPr>
        <w:t xml:space="preserve">Eigenerklärung </w:t>
      </w:r>
      <w:r w:rsidR="00397B37" w:rsidRPr="00397B37">
        <w:rPr>
          <w:rFonts w:cstheme="minorHAnsi"/>
        </w:rPr>
        <w:t>von Unternehmen und landwirtschaftlichen Betrieben“</w:t>
      </w:r>
      <w:r w:rsidR="00397B37">
        <w:rPr>
          <w:rFonts w:cstheme="minorHAnsi"/>
        </w:rPr>
        <w:t xml:space="preserve"> </w:t>
      </w:r>
      <w:r w:rsidR="00BE34A5">
        <w:rPr>
          <w:rFonts w:cstheme="minorHAnsi"/>
        </w:rPr>
        <w:t>einreichen. Hiermit</w:t>
      </w:r>
      <w:r>
        <w:rPr>
          <w:rFonts w:cstheme="minorHAnsi"/>
        </w:rPr>
        <w:t xml:space="preserve"> versichern</w:t>
      </w:r>
      <w:r w:rsidR="00BE34A5">
        <w:rPr>
          <w:rFonts w:cstheme="minorHAnsi"/>
        </w:rPr>
        <w:t xml:space="preserve"> sie</w:t>
      </w:r>
      <w:r>
        <w:rPr>
          <w:rFonts w:cstheme="minorHAnsi"/>
        </w:rPr>
        <w:t xml:space="preserve">, Unternehmen im Sinne der KMU-Definition respektive landwirtschaftlicher Betrieb zu sein. </w:t>
      </w:r>
      <w:r w:rsidR="00E968BD">
        <w:rPr>
          <w:rFonts w:cstheme="minorHAnsi"/>
        </w:rPr>
        <w:t>D</w:t>
      </w:r>
      <w:r w:rsidR="00BE34A5">
        <w:rPr>
          <w:rFonts w:cstheme="minorHAnsi"/>
        </w:rPr>
        <w:t xml:space="preserve">ie Eigenerklärung </w:t>
      </w:r>
      <w:r w:rsidR="00146692" w:rsidRPr="00146692">
        <w:rPr>
          <w:rFonts w:cstheme="minorHAnsi"/>
        </w:rPr>
        <w:t>ist Voraussetzung für eine Förderung</w:t>
      </w:r>
      <w:r w:rsidR="00BE34A5">
        <w:rPr>
          <w:rFonts w:cstheme="minorHAnsi"/>
        </w:rPr>
        <w:t xml:space="preserve"> im Zuge des Ausbauprojekts</w:t>
      </w:r>
      <w:r w:rsidR="00146692" w:rsidRPr="00146692">
        <w:rPr>
          <w:rFonts w:cstheme="minorHAnsi"/>
        </w:rPr>
        <w:t>.</w:t>
      </w:r>
      <w:r w:rsidR="00586137">
        <w:rPr>
          <w:rFonts w:cstheme="minorHAnsi"/>
        </w:rPr>
        <w:t xml:space="preserve"> </w:t>
      </w:r>
      <w:r w:rsidR="00124164">
        <w:rPr>
          <w:rFonts w:cstheme="minorHAnsi"/>
        </w:rPr>
        <w:t xml:space="preserve">Für </w:t>
      </w:r>
      <w:r w:rsidR="00586137">
        <w:rPr>
          <w:rFonts w:cstheme="minorHAnsi"/>
        </w:rPr>
        <w:t>Unternehmen, die gemäß Ziff</w:t>
      </w:r>
      <w:r w:rsidR="00E260B3">
        <w:rPr>
          <w:rFonts w:cstheme="minorHAnsi"/>
        </w:rPr>
        <w:t>er</w:t>
      </w:r>
      <w:r w:rsidR="00586137">
        <w:rPr>
          <w:rFonts w:cstheme="minorHAnsi"/>
        </w:rPr>
        <w:t xml:space="preserve"> 1.1, Absatz 1 </w:t>
      </w:r>
      <w:r w:rsidR="00124164">
        <w:rPr>
          <w:rFonts w:cstheme="minorHAnsi"/>
        </w:rPr>
        <w:t>der Gigabit-Richtlinie</w:t>
      </w:r>
      <w:r w:rsidR="00124164">
        <w:rPr>
          <w:rStyle w:val="Funotenzeichen"/>
          <w:rFonts w:cstheme="minorHAnsi"/>
        </w:rPr>
        <w:footnoteReference w:id="4"/>
      </w:r>
      <w:r w:rsidR="00124164">
        <w:rPr>
          <w:rFonts w:cstheme="minorHAnsi"/>
        </w:rPr>
        <w:t xml:space="preserve"> </w:t>
      </w:r>
      <w:r w:rsidR="00586137">
        <w:rPr>
          <w:rFonts w:cstheme="minorHAnsi"/>
        </w:rPr>
        <w:t xml:space="preserve">unterversorgt sind, ist die Abgabe </w:t>
      </w:r>
      <w:r w:rsidR="00586137">
        <w:rPr>
          <w:rFonts w:cstheme="minorHAnsi"/>
        </w:rPr>
        <w:lastRenderedPageBreak/>
        <w:t>einer Eigenerklärung nicht erforderlich.</w:t>
      </w:r>
      <w:r w:rsidR="00146692" w:rsidRPr="00146692">
        <w:rPr>
          <w:rFonts w:cstheme="minorHAnsi"/>
        </w:rPr>
        <w:t xml:space="preserve"> </w:t>
      </w:r>
      <w:r w:rsidR="00BC1DC3">
        <w:rPr>
          <w:rFonts w:cstheme="minorHAnsi"/>
        </w:rPr>
        <w:t xml:space="preserve">Zum Zwecke der weiteren Verfahrensvereinfachung erklären die Zuwendungsempfänger mittels der vorliegenden </w:t>
      </w:r>
      <w:r w:rsidR="00E97E31">
        <w:rPr>
          <w:rFonts w:cstheme="minorHAnsi"/>
        </w:rPr>
        <w:t>„Eigene</w:t>
      </w:r>
      <w:r w:rsidR="00BC1DC3">
        <w:rPr>
          <w:rFonts w:cstheme="minorHAnsi"/>
        </w:rPr>
        <w:t>rklärung</w:t>
      </w:r>
      <w:r w:rsidR="00E97E31">
        <w:rPr>
          <w:rFonts w:cstheme="minorHAnsi"/>
        </w:rPr>
        <w:t xml:space="preserve"> </w:t>
      </w:r>
      <w:r w:rsidR="00397B37" w:rsidRPr="00397B37">
        <w:rPr>
          <w:rFonts w:cstheme="minorHAnsi"/>
        </w:rPr>
        <w:t>von Zuwendungsempfängern</w:t>
      </w:r>
      <w:r w:rsidR="00397B37">
        <w:rPr>
          <w:rFonts w:cstheme="minorHAnsi"/>
        </w:rPr>
        <w:t>“</w:t>
      </w:r>
      <w:r w:rsidR="00BC1DC3">
        <w:rPr>
          <w:rFonts w:cstheme="minorHAnsi"/>
        </w:rPr>
        <w:t>, dass sie im Hinblick auf alle als KMU geltende</w:t>
      </w:r>
      <w:r w:rsidR="00146692">
        <w:rPr>
          <w:rFonts w:cstheme="minorHAnsi"/>
        </w:rPr>
        <w:t>n</w:t>
      </w:r>
      <w:r w:rsidR="00BC1DC3">
        <w:rPr>
          <w:rFonts w:cstheme="minorHAnsi"/>
        </w:rPr>
        <w:t xml:space="preserve"> Unternehmen und landwirtschaftliche</w:t>
      </w:r>
      <w:r w:rsidR="00146692">
        <w:rPr>
          <w:rFonts w:cstheme="minorHAnsi"/>
        </w:rPr>
        <w:t>n</w:t>
      </w:r>
      <w:r w:rsidR="00BC1DC3">
        <w:rPr>
          <w:rFonts w:cstheme="minorHAnsi"/>
        </w:rPr>
        <w:t xml:space="preserve"> Betriebe, die in die Förderung einbezogen werden, die entsprechende </w:t>
      </w:r>
      <w:r w:rsidR="00E97E31">
        <w:rPr>
          <w:rFonts w:cstheme="minorHAnsi"/>
        </w:rPr>
        <w:t>„</w:t>
      </w:r>
      <w:r w:rsidR="00BC1DC3">
        <w:rPr>
          <w:rFonts w:cstheme="minorHAnsi"/>
        </w:rPr>
        <w:t xml:space="preserve">Eigenerklärung </w:t>
      </w:r>
      <w:r w:rsidR="00397B37" w:rsidRPr="00397B37">
        <w:rPr>
          <w:rFonts w:cstheme="minorHAnsi"/>
        </w:rPr>
        <w:t xml:space="preserve">von Unternehmen und landwirtschaftlichen Betrieben“ </w:t>
      </w:r>
      <w:r w:rsidR="00BC1DC3">
        <w:rPr>
          <w:rFonts w:cstheme="minorHAnsi"/>
        </w:rPr>
        <w:t>eingeholt</w:t>
      </w:r>
      <w:r w:rsidR="00146692">
        <w:rPr>
          <w:rFonts w:cstheme="minorHAnsi"/>
        </w:rPr>
        <w:t>,</w:t>
      </w:r>
      <w:r w:rsidR="00BC1DC3">
        <w:rPr>
          <w:rFonts w:cstheme="minorHAnsi"/>
        </w:rPr>
        <w:t xml:space="preserve"> auf Vollständigkeit </w:t>
      </w:r>
      <w:r w:rsidR="00146692">
        <w:rPr>
          <w:rFonts w:cstheme="minorHAnsi"/>
        </w:rPr>
        <w:t>und</w:t>
      </w:r>
      <w:r w:rsidR="00E67460">
        <w:rPr>
          <w:rFonts w:cstheme="minorHAnsi"/>
        </w:rPr>
        <w:t xml:space="preserve"> Förderfähigkeit nach </w:t>
      </w:r>
      <w:r w:rsidR="004952E6">
        <w:rPr>
          <w:rFonts w:cstheme="minorHAnsi"/>
        </w:rPr>
        <w:t>Ziffer</w:t>
      </w:r>
      <w:r w:rsidR="00E67460">
        <w:rPr>
          <w:rFonts w:cstheme="minorHAnsi"/>
        </w:rPr>
        <w:t xml:space="preserve"> 1.1 der Gigabit-Richtlinie</w:t>
      </w:r>
      <w:r w:rsidR="00BC1DC3">
        <w:rPr>
          <w:rFonts w:cstheme="minorHAnsi"/>
        </w:rPr>
        <w:t xml:space="preserve"> überprüft haben </w:t>
      </w:r>
      <w:r w:rsidR="00146692">
        <w:rPr>
          <w:rFonts w:cstheme="minorHAnsi"/>
        </w:rPr>
        <w:t>und</w:t>
      </w:r>
      <w:r w:rsidR="00BC1DC3">
        <w:rPr>
          <w:rFonts w:cstheme="minorHAnsi"/>
        </w:rPr>
        <w:t xml:space="preserve"> diese nunmehr vorhalten, um sie im Bedarfsfalle jederzeit der Bewilligungsbehörde zum Zwecke einer vertieften Überprüfung </w:t>
      </w:r>
      <w:r w:rsidR="00146692">
        <w:rPr>
          <w:rFonts w:cstheme="minorHAnsi"/>
        </w:rPr>
        <w:t>vorlegen</w:t>
      </w:r>
      <w:r w:rsidR="00A00706">
        <w:rPr>
          <w:rFonts w:cstheme="minorHAnsi"/>
        </w:rPr>
        <w:t xml:space="preserve"> zu können.</w:t>
      </w:r>
    </w:p>
    <w:p w14:paraId="53EB506E" w14:textId="77777777" w:rsidR="00ED7D09" w:rsidRPr="000523AB" w:rsidRDefault="0007206E" w:rsidP="00ED7D09">
      <w:pPr>
        <w:pStyle w:val="KeinLeerraum"/>
        <w:spacing w:before="480" w:after="480"/>
        <w:jc w:val="center"/>
        <w:rPr>
          <w:b/>
        </w:rPr>
      </w:pPr>
      <w:r w:rsidRPr="000523AB">
        <w:rPr>
          <w:b/>
        </w:rPr>
        <w:t>Vor diesem Hintergrund erklärt</w:t>
      </w:r>
    </w:p>
    <w:tbl>
      <w:tblPr>
        <w:tblStyle w:val="Tabellenraster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2"/>
        <w:gridCol w:w="1574"/>
        <w:gridCol w:w="3596"/>
      </w:tblGrid>
      <w:tr w:rsidR="00B44AC5" w:rsidRPr="00932B03" w14:paraId="67DD851A" w14:textId="77777777" w:rsidTr="006C2584">
        <w:trPr>
          <w:trHeight w:val="244"/>
        </w:trPr>
        <w:tc>
          <w:tcPr>
            <w:tcW w:w="2080" w:type="pct"/>
          </w:tcPr>
          <w:p w14:paraId="64E0F8FD" w14:textId="7D084572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Bezeichnung Gebietskörperschaft bzw. Zuwendungsempfänger nach Nr. 4.1 der Gigabit-Richtlinie</w:t>
            </w:r>
          </w:p>
        </w:tc>
        <w:tc>
          <w:tcPr>
            <w:tcW w:w="2920" w:type="pct"/>
            <w:gridSpan w:val="2"/>
          </w:tcPr>
          <w:p w14:paraId="25BCEFFB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</w:t>
            </w:r>
            <w:r>
              <w:rPr>
                <w:rFonts w:cstheme="minorHAnsi"/>
                <w:sz w:val="20"/>
                <w:szCs w:val="20"/>
                <w:highlight w:val="yellow"/>
              </w:rPr>
              <w:t>Gebietskörperschaft</w:t>
            </w:r>
            <w:r w:rsidRPr="00ED7D09">
              <w:rPr>
                <w:rFonts w:cstheme="minorHAnsi"/>
                <w:sz w:val="20"/>
                <w:szCs w:val="20"/>
                <w:highlight w:val="yellow"/>
              </w:rPr>
              <w:t xml:space="preserve">] </w:t>
            </w:r>
          </w:p>
          <w:p w14:paraId="5C4F4381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44AC5" w:rsidRPr="00932B03" w14:paraId="487327B3" w14:textId="77777777" w:rsidTr="006C2584">
        <w:trPr>
          <w:trHeight w:val="244"/>
        </w:trPr>
        <w:tc>
          <w:tcPr>
            <w:tcW w:w="2080" w:type="pct"/>
          </w:tcPr>
          <w:p w14:paraId="38481D19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Adresse (Straße, Hausnummer, PLZ, Ort)</w:t>
            </w:r>
          </w:p>
        </w:tc>
        <w:tc>
          <w:tcPr>
            <w:tcW w:w="2920" w:type="pct"/>
            <w:gridSpan w:val="2"/>
          </w:tcPr>
          <w:p w14:paraId="41911C14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[Adresse (Straße, Hausnummer, PLZ, Ort)]</w:t>
            </w:r>
          </w:p>
          <w:p w14:paraId="76EEF67E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44AC5" w:rsidRPr="00932B03" w14:paraId="7F27B3AC" w14:textId="77777777" w:rsidTr="006C2584">
        <w:trPr>
          <w:trHeight w:val="244"/>
        </w:trPr>
        <w:tc>
          <w:tcPr>
            <w:tcW w:w="2080" w:type="pct"/>
          </w:tcPr>
          <w:p w14:paraId="04C6D579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20" w:type="pct"/>
            <w:gridSpan w:val="2"/>
          </w:tcPr>
          <w:p w14:paraId="5AF83575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[Bundesland]</w:t>
            </w:r>
          </w:p>
        </w:tc>
      </w:tr>
      <w:tr w:rsidR="00B44AC5" w:rsidRPr="00932B03" w14:paraId="5A147885" w14:textId="77777777" w:rsidTr="00B44AC5">
        <w:trPr>
          <w:trHeight w:val="244"/>
        </w:trPr>
        <w:tc>
          <w:tcPr>
            <w:tcW w:w="2080" w:type="pct"/>
          </w:tcPr>
          <w:p w14:paraId="3124DC73" w14:textId="415D0FB0" w:rsidR="00B44AC5" w:rsidRDefault="00B44AC5" w:rsidP="00B44A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Aktenzeichen des Förderverwaltungsverfahrens</w:t>
            </w:r>
            <w:r w:rsidR="006B0EBA">
              <w:rPr>
                <w:rFonts w:cstheme="minorHAnsi"/>
                <w:b/>
                <w:bCs/>
                <w:sz w:val="20"/>
                <w:szCs w:val="20"/>
              </w:rPr>
              <w:t xml:space="preserve"> beim Bund</w:t>
            </w:r>
          </w:p>
        </w:tc>
        <w:tc>
          <w:tcPr>
            <w:tcW w:w="2920" w:type="pct"/>
            <w:gridSpan w:val="2"/>
          </w:tcPr>
          <w:p w14:paraId="6E29F121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</w:t>
            </w:r>
            <w:r>
              <w:rPr>
                <w:rFonts w:cstheme="minorHAnsi"/>
                <w:sz w:val="20"/>
                <w:szCs w:val="20"/>
                <w:highlight w:val="yellow"/>
              </w:rPr>
              <w:t>Aktenzeichen</w:t>
            </w:r>
            <w:r w:rsidRPr="00ED7D09">
              <w:rPr>
                <w:rFonts w:cstheme="minorHAnsi"/>
                <w:sz w:val="20"/>
                <w:szCs w:val="20"/>
                <w:highlight w:val="yellow"/>
              </w:rPr>
              <w:t>]</w:t>
            </w:r>
          </w:p>
        </w:tc>
      </w:tr>
      <w:tr w:rsidR="00B44AC5" w:rsidRPr="00932B03" w14:paraId="398A9D44" w14:textId="77777777" w:rsidTr="006C2584">
        <w:trPr>
          <w:trHeight w:val="244"/>
        </w:trPr>
        <w:tc>
          <w:tcPr>
            <w:tcW w:w="2080" w:type="pct"/>
            <w:vMerge w:val="restart"/>
          </w:tcPr>
          <w:p w14:paraId="5E607822" w14:textId="2A2FB4B8" w:rsidR="00B44AC5" w:rsidRPr="00ED7D09" w:rsidRDefault="000F2C5D" w:rsidP="006C2584">
            <w:pPr>
              <w:rPr>
                <w:rFonts w:cstheme="minorHAnsi"/>
                <w:b/>
                <w:sz w:val="20"/>
                <w:szCs w:val="20"/>
              </w:rPr>
            </w:pPr>
            <w:r w:rsidRPr="000F2C5D">
              <w:rPr>
                <w:rFonts w:cstheme="minorHAnsi"/>
                <w:b/>
                <w:sz w:val="20"/>
                <w:szCs w:val="20"/>
              </w:rPr>
              <w:t>Vertretungsberechtigte Person, Kontaktperson für Rückfragen</w:t>
            </w:r>
            <w:r w:rsidR="00B44AC5" w:rsidRPr="00ED7D0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</w:tcPr>
          <w:p w14:paraId="35ED86D2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031" w:type="pct"/>
          </w:tcPr>
          <w:p w14:paraId="7459F14A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[Name]</w:t>
            </w:r>
          </w:p>
        </w:tc>
      </w:tr>
      <w:tr w:rsidR="00B44AC5" w:rsidRPr="00932B03" w14:paraId="251C9015" w14:textId="77777777" w:rsidTr="006C2584">
        <w:trPr>
          <w:trHeight w:val="244"/>
        </w:trPr>
        <w:tc>
          <w:tcPr>
            <w:tcW w:w="2080" w:type="pct"/>
            <w:vMerge/>
          </w:tcPr>
          <w:p w14:paraId="15C01D70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0635FC1A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Telefonnummer:</w:t>
            </w:r>
          </w:p>
        </w:tc>
        <w:tc>
          <w:tcPr>
            <w:tcW w:w="2031" w:type="pct"/>
          </w:tcPr>
          <w:p w14:paraId="60151D94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[Telefonnummer]</w:t>
            </w:r>
          </w:p>
        </w:tc>
      </w:tr>
      <w:tr w:rsidR="00B44AC5" w:rsidRPr="00932B03" w14:paraId="254ED6BC" w14:textId="77777777" w:rsidTr="006C2584">
        <w:trPr>
          <w:trHeight w:val="245"/>
        </w:trPr>
        <w:tc>
          <w:tcPr>
            <w:tcW w:w="2080" w:type="pct"/>
            <w:vMerge/>
          </w:tcPr>
          <w:p w14:paraId="53D03CE3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76BCA056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2031" w:type="pct"/>
          </w:tcPr>
          <w:p w14:paraId="3D5FF535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[E-Mail]</w:t>
            </w:r>
          </w:p>
        </w:tc>
      </w:tr>
    </w:tbl>
    <w:p w14:paraId="36574031" w14:textId="3FF7071C" w:rsidR="00403B87" w:rsidRPr="00ED7D09" w:rsidRDefault="00403B87" w:rsidP="00146692">
      <w:pPr>
        <w:pStyle w:val="KeinLeerraum"/>
        <w:spacing w:before="480" w:after="480"/>
        <w:jc w:val="center"/>
        <w:rPr>
          <w:rFonts w:cstheme="minorHAnsi"/>
          <w:b/>
          <w:bCs/>
        </w:rPr>
      </w:pPr>
      <w:r w:rsidRPr="00ED7D09">
        <w:rPr>
          <w:b/>
        </w:rPr>
        <w:t>(nachfolgend „</w:t>
      </w:r>
      <w:r w:rsidR="001B6DA4">
        <w:rPr>
          <w:b/>
        </w:rPr>
        <w:t>Zuwendungsempfänger</w:t>
      </w:r>
      <w:r w:rsidRPr="00ED7D09">
        <w:rPr>
          <w:b/>
        </w:rPr>
        <w:t>“)</w:t>
      </w:r>
      <w:r w:rsidR="00E2584E" w:rsidRPr="00ED7D09">
        <w:rPr>
          <w:b/>
        </w:rPr>
        <w:t xml:space="preserve"> </w:t>
      </w:r>
      <w:r w:rsidR="00B44AC5">
        <w:rPr>
          <w:rFonts w:cstheme="minorHAnsi"/>
          <w:b/>
          <w:bCs/>
        </w:rPr>
        <w:t xml:space="preserve">das </w:t>
      </w:r>
      <w:r w:rsidRPr="00ED7D09">
        <w:rPr>
          <w:rFonts w:cstheme="minorHAnsi"/>
          <w:b/>
          <w:bCs/>
        </w:rPr>
        <w:t>Folgende:</w:t>
      </w:r>
    </w:p>
    <w:p w14:paraId="4C4674DC" w14:textId="77777777" w:rsidR="00595C0D" w:rsidRDefault="00595C0D" w:rsidP="00BE0C7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4C53C524" w14:textId="4D336390" w:rsidR="00E7191A" w:rsidRDefault="00BC1DC3" w:rsidP="00595C0D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Der Zuwendungsempfänger hat im Rahmen des vorbezeichneten Förderverwaltungsverfahrens </w:t>
      </w:r>
      <w:r w:rsidR="00E7191A" w:rsidRPr="00E7191A">
        <w:rPr>
          <w:rFonts w:cstheme="minorHAnsi"/>
        </w:rPr>
        <w:t xml:space="preserve">die folgende Anzahl an </w:t>
      </w:r>
      <w:r w:rsidRPr="006A0231">
        <w:rPr>
          <w:rFonts w:cstheme="minorHAnsi"/>
          <w:b/>
        </w:rPr>
        <w:t>Unternehmen im Sinne der KMU-Definition</w:t>
      </w:r>
      <w:r>
        <w:rPr>
          <w:rFonts w:cstheme="minorHAnsi"/>
        </w:rPr>
        <w:t xml:space="preserve"> </w:t>
      </w:r>
      <w:r w:rsidR="00B11A98">
        <w:rPr>
          <w:rFonts w:cstheme="minorHAnsi"/>
        </w:rPr>
        <w:t>von Ziff</w:t>
      </w:r>
      <w:r w:rsidR="00590AD8">
        <w:rPr>
          <w:rFonts w:cstheme="minorHAnsi"/>
        </w:rPr>
        <w:t>er</w:t>
      </w:r>
      <w:r w:rsidR="00B11A98">
        <w:rPr>
          <w:rFonts w:cstheme="minorHAnsi"/>
        </w:rPr>
        <w:t xml:space="preserve"> 1.1, Absatz 2 der Gigabit-Richtlinie </w:t>
      </w:r>
      <w:r w:rsidR="00E7191A">
        <w:rPr>
          <w:rFonts w:cstheme="minorHAnsi"/>
        </w:rPr>
        <w:t>identifiziert:</w:t>
      </w:r>
      <w:r w:rsidR="00E2584E" w:rsidRPr="00595C0D">
        <w:rPr>
          <w:rFonts w:cstheme="minorHAnsi"/>
        </w:rPr>
        <w:t xml:space="preserve"> </w:t>
      </w:r>
      <w:r w:rsidR="00E7191A" w:rsidRPr="00BE0C75">
        <w:rPr>
          <w:rFonts w:cstheme="minorHAnsi"/>
          <w:b/>
        </w:rPr>
        <w:t>[</w:t>
      </w:r>
      <w:r w:rsidR="006C34BB" w:rsidRPr="004952E6">
        <w:rPr>
          <w:rFonts w:cstheme="minorHAnsi"/>
          <w:b/>
          <w:highlight w:val="yellow"/>
        </w:rPr>
        <w:t>Anzahl eintragen</w:t>
      </w:r>
      <w:r w:rsidR="001915DF">
        <w:rPr>
          <w:rFonts w:cstheme="minorHAnsi"/>
          <w:b/>
          <w:highlight w:val="yellow"/>
        </w:rPr>
        <w:t xml:space="preserve">], </w:t>
      </w:r>
    </w:p>
    <w:p w14:paraId="45FE0CB0" w14:textId="24B4F17E" w:rsidR="00595C0D" w:rsidRDefault="00E7191A" w:rsidP="00595C0D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0523AB" w:rsidRPr="00595C0D">
        <w:rPr>
          <w:rFonts w:cstheme="minorHAnsi"/>
        </w:rPr>
        <w:t xml:space="preserve">it Stand des Datums der vorliegenden </w:t>
      </w:r>
      <w:r w:rsidR="00D13434">
        <w:rPr>
          <w:rFonts w:cstheme="minorHAnsi"/>
        </w:rPr>
        <w:t>„Eigene</w:t>
      </w:r>
      <w:r w:rsidR="000523AB" w:rsidRPr="00595C0D">
        <w:rPr>
          <w:rFonts w:cstheme="minorHAnsi"/>
        </w:rPr>
        <w:t>rklärung</w:t>
      </w:r>
      <w:r>
        <w:rPr>
          <w:rFonts w:cstheme="minorHAnsi"/>
        </w:rPr>
        <w:t xml:space="preserve"> </w:t>
      </w:r>
      <w:r w:rsidR="00D13434" w:rsidRPr="00397B37">
        <w:rPr>
          <w:rFonts w:cstheme="minorHAnsi"/>
        </w:rPr>
        <w:t>von Zuwendungsempfängern</w:t>
      </w:r>
      <w:r w:rsidR="00D13434">
        <w:rPr>
          <w:rFonts w:cstheme="minorHAnsi"/>
        </w:rPr>
        <w:t xml:space="preserve">“ </w:t>
      </w:r>
      <w:r w:rsidR="00E968BD">
        <w:rPr>
          <w:rFonts w:cstheme="minorHAnsi"/>
        </w:rPr>
        <w:t xml:space="preserve">liegt </w:t>
      </w:r>
      <w:r>
        <w:rPr>
          <w:rFonts w:cstheme="minorHAnsi"/>
        </w:rPr>
        <w:t xml:space="preserve">dem Zuwendungsempfänger </w:t>
      </w:r>
      <w:r w:rsidR="00E968BD">
        <w:rPr>
          <w:rFonts w:cstheme="minorHAnsi"/>
        </w:rPr>
        <w:t xml:space="preserve">im Hinblick auf Unternehmen </w:t>
      </w:r>
      <w:r>
        <w:rPr>
          <w:rFonts w:cstheme="minorHAnsi"/>
        </w:rPr>
        <w:t xml:space="preserve">folgende Anzahl </w:t>
      </w:r>
      <w:r w:rsidR="00397B37">
        <w:rPr>
          <w:rFonts w:cstheme="minorHAnsi"/>
        </w:rPr>
        <w:t xml:space="preserve">an </w:t>
      </w:r>
      <w:r w:rsidR="00397B37" w:rsidRPr="00397B37">
        <w:rPr>
          <w:rFonts w:cstheme="minorHAnsi"/>
        </w:rPr>
        <w:t>„Eigenerklärung</w:t>
      </w:r>
      <w:r w:rsidR="00E968BD">
        <w:rPr>
          <w:rFonts w:cstheme="minorHAnsi"/>
        </w:rPr>
        <w:t>en</w:t>
      </w:r>
      <w:r w:rsidR="00397B37" w:rsidRPr="00397B37">
        <w:rPr>
          <w:rFonts w:cstheme="minorHAnsi"/>
        </w:rPr>
        <w:t xml:space="preserve"> von Unternehmen und landwirtschaftlichen Betrieben“</w:t>
      </w:r>
      <w:r>
        <w:rPr>
          <w:rFonts w:cstheme="minorHAnsi"/>
        </w:rPr>
        <w:t xml:space="preserve"> vor: </w:t>
      </w:r>
      <w:r w:rsidRPr="00BE0C75">
        <w:rPr>
          <w:rFonts w:cstheme="minorHAnsi"/>
          <w:b/>
        </w:rPr>
        <w:t>[</w:t>
      </w:r>
      <w:r w:rsidRPr="00BE0C75">
        <w:rPr>
          <w:rFonts w:cstheme="minorHAnsi"/>
          <w:b/>
          <w:highlight w:val="yellow"/>
          <w:u w:val="single"/>
        </w:rPr>
        <w:t>Anzahl eintragen</w:t>
      </w:r>
      <w:r w:rsidR="00E2584E" w:rsidRPr="00595C0D">
        <w:rPr>
          <w:rFonts w:cstheme="minorHAnsi"/>
        </w:rPr>
        <w:t xml:space="preserve"> </w:t>
      </w:r>
    </w:p>
    <w:p w14:paraId="41143E75" w14:textId="7308BAD6" w:rsidR="000523AB" w:rsidRDefault="000523AB" w:rsidP="00BE0C7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28C21396" w14:textId="3C49AC71" w:rsidR="00E7191A" w:rsidRPr="00E7191A" w:rsidRDefault="00E7191A" w:rsidP="00E7191A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E7191A">
        <w:rPr>
          <w:rFonts w:cstheme="minorHAnsi"/>
        </w:rPr>
        <w:t xml:space="preserve">Der Zuwendungsempfänger hat im Rahmen des vorbezeichneten Förderverwaltungsverfahrens die folgende Anzahl </w:t>
      </w:r>
      <w:r w:rsidRPr="006A0231">
        <w:rPr>
          <w:rFonts w:cstheme="minorHAnsi"/>
          <w:b/>
        </w:rPr>
        <w:t>landwirtschaftlicher Betriebe</w:t>
      </w:r>
      <w:r w:rsidRPr="00E7191A">
        <w:rPr>
          <w:rFonts w:cstheme="minorHAnsi"/>
        </w:rPr>
        <w:t xml:space="preserve"> identifiziert: </w:t>
      </w:r>
      <w:r w:rsidRPr="00E7191A">
        <w:rPr>
          <w:rFonts w:cstheme="minorHAnsi"/>
          <w:b/>
        </w:rPr>
        <w:t>[</w:t>
      </w:r>
      <w:r w:rsidRPr="00E7191A">
        <w:rPr>
          <w:rFonts w:cstheme="minorHAnsi"/>
          <w:b/>
          <w:highlight w:val="yellow"/>
          <w:u w:val="single"/>
        </w:rPr>
        <w:t>Anzahl eintragen</w:t>
      </w:r>
      <w:r w:rsidRPr="00B54474">
        <w:rPr>
          <w:rFonts w:cstheme="minorHAnsi"/>
          <w:b/>
        </w:rPr>
        <w:t>]</w:t>
      </w:r>
      <w:r w:rsidR="001915DF" w:rsidRPr="00CF329E">
        <w:rPr>
          <w:rFonts w:cstheme="minorHAnsi"/>
          <w:b/>
          <w:u w:val="single"/>
        </w:rPr>
        <w:t xml:space="preserve">, </w:t>
      </w:r>
    </w:p>
    <w:p w14:paraId="38763018" w14:textId="7912A649" w:rsidR="00E7191A" w:rsidRPr="00E7191A" w:rsidRDefault="00E7191A" w:rsidP="00E7191A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E7191A">
        <w:rPr>
          <w:rFonts w:cstheme="minorHAnsi"/>
        </w:rPr>
        <w:t xml:space="preserve">Mit Stand des Datums der vorliegenden </w:t>
      </w:r>
      <w:r w:rsidR="00D13434">
        <w:rPr>
          <w:rFonts w:cstheme="minorHAnsi"/>
        </w:rPr>
        <w:t>„Eigene</w:t>
      </w:r>
      <w:r w:rsidRPr="00E7191A">
        <w:rPr>
          <w:rFonts w:cstheme="minorHAnsi"/>
        </w:rPr>
        <w:t xml:space="preserve">rklärung </w:t>
      </w:r>
      <w:r w:rsidR="00D13434" w:rsidRPr="00397B37">
        <w:rPr>
          <w:rFonts w:cstheme="minorHAnsi"/>
        </w:rPr>
        <w:t>von Zuwendungsempfängern</w:t>
      </w:r>
      <w:r w:rsidR="00D13434">
        <w:rPr>
          <w:rFonts w:cstheme="minorHAnsi"/>
        </w:rPr>
        <w:t xml:space="preserve">“ </w:t>
      </w:r>
      <w:r w:rsidR="00E968BD" w:rsidRPr="00E7191A">
        <w:rPr>
          <w:rFonts w:cstheme="minorHAnsi"/>
        </w:rPr>
        <w:t>lieg</w:t>
      </w:r>
      <w:r w:rsidR="00E968BD">
        <w:rPr>
          <w:rFonts w:cstheme="minorHAnsi"/>
        </w:rPr>
        <w:t>t</w:t>
      </w:r>
      <w:r w:rsidR="00E968BD" w:rsidRPr="00E7191A">
        <w:rPr>
          <w:rFonts w:cstheme="minorHAnsi"/>
        </w:rPr>
        <w:t xml:space="preserve"> </w:t>
      </w:r>
      <w:r w:rsidRPr="00E7191A">
        <w:rPr>
          <w:rFonts w:cstheme="minorHAnsi"/>
        </w:rPr>
        <w:t>dem Zuwendungsempfänger</w:t>
      </w:r>
      <w:r w:rsidR="00A77540" w:rsidRPr="00A77540">
        <w:rPr>
          <w:rFonts w:cstheme="minorHAnsi"/>
        </w:rPr>
        <w:t xml:space="preserve"> </w:t>
      </w:r>
      <w:r w:rsidR="00E968BD">
        <w:rPr>
          <w:rFonts w:cstheme="minorHAnsi"/>
        </w:rPr>
        <w:t xml:space="preserve">im Hinblick auf </w:t>
      </w:r>
      <w:r w:rsidR="00A77540">
        <w:rPr>
          <w:rFonts w:cstheme="minorHAnsi"/>
        </w:rPr>
        <w:t>landwirtschaftliche Betriebe</w:t>
      </w:r>
      <w:r w:rsidRPr="00E7191A">
        <w:rPr>
          <w:rFonts w:cstheme="minorHAnsi"/>
        </w:rPr>
        <w:t xml:space="preserve"> folgende Anzahl </w:t>
      </w:r>
      <w:r w:rsidR="00A77540">
        <w:rPr>
          <w:rFonts w:cstheme="minorHAnsi"/>
        </w:rPr>
        <w:t xml:space="preserve">an </w:t>
      </w:r>
      <w:r w:rsidR="00D13434">
        <w:rPr>
          <w:rFonts w:cstheme="minorHAnsi"/>
        </w:rPr>
        <w:t>„</w:t>
      </w:r>
      <w:r w:rsidRPr="00E7191A">
        <w:rPr>
          <w:rFonts w:cstheme="minorHAnsi"/>
        </w:rPr>
        <w:t xml:space="preserve">Eigenerklärungen </w:t>
      </w:r>
      <w:r w:rsidR="00A77540" w:rsidRPr="00397B37">
        <w:rPr>
          <w:rFonts w:cstheme="minorHAnsi"/>
        </w:rPr>
        <w:t>von Unternehmen und landwirtschaftlichen Betrieben“</w:t>
      </w:r>
      <w:r w:rsidR="00A77540">
        <w:rPr>
          <w:rFonts w:cstheme="minorHAnsi"/>
        </w:rPr>
        <w:t xml:space="preserve"> </w:t>
      </w:r>
      <w:r w:rsidRPr="00E7191A">
        <w:rPr>
          <w:rFonts w:cstheme="minorHAnsi"/>
        </w:rPr>
        <w:t xml:space="preserve">vor: </w:t>
      </w:r>
      <w:r w:rsidRPr="00E7191A">
        <w:rPr>
          <w:rFonts w:cstheme="minorHAnsi"/>
          <w:b/>
        </w:rPr>
        <w:t>[</w:t>
      </w:r>
      <w:r w:rsidRPr="00E7191A">
        <w:rPr>
          <w:rFonts w:cstheme="minorHAnsi"/>
          <w:b/>
          <w:highlight w:val="yellow"/>
          <w:u w:val="single"/>
        </w:rPr>
        <w:t>Anzahl eintragen</w:t>
      </w:r>
      <w:r w:rsidR="00A64F5C">
        <w:rPr>
          <w:rFonts w:cstheme="minorHAnsi"/>
          <w:b/>
          <w:highlight w:val="yellow"/>
          <w:u w:val="single"/>
        </w:rPr>
        <w:t>]</w:t>
      </w:r>
      <w:r w:rsidRPr="00E7191A">
        <w:rPr>
          <w:rFonts w:cstheme="minorHAnsi"/>
          <w:b/>
        </w:rPr>
        <w:t>.</w:t>
      </w:r>
      <w:r w:rsidRPr="00E7191A">
        <w:rPr>
          <w:rFonts w:cstheme="minorHAnsi"/>
        </w:rPr>
        <w:t xml:space="preserve"> </w:t>
      </w:r>
    </w:p>
    <w:p w14:paraId="2B7E549F" w14:textId="77777777" w:rsidR="0083014C" w:rsidRDefault="0083014C" w:rsidP="008301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5EEDDD96" w14:textId="5B822D1D" w:rsidR="0083014C" w:rsidRDefault="0070469E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70469E">
        <w:rPr>
          <w:rFonts w:cstheme="minorHAnsi"/>
        </w:rPr>
        <w:t xml:space="preserve">Der Zuwendungsempfänger wird die </w:t>
      </w:r>
      <w:r w:rsidR="0027594F" w:rsidRPr="00397B37">
        <w:rPr>
          <w:rFonts w:cstheme="minorHAnsi"/>
        </w:rPr>
        <w:t>„</w:t>
      </w:r>
      <w:r w:rsidRPr="0070469E">
        <w:rPr>
          <w:rFonts w:cstheme="minorHAnsi"/>
        </w:rPr>
        <w:t>Eigenerklärung</w:t>
      </w:r>
      <w:r w:rsidR="00E968BD">
        <w:rPr>
          <w:rFonts w:cstheme="minorHAnsi"/>
        </w:rPr>
        <w:t>en</w:t>
      </w:r>
      <w:r w:rsidRPr="0070469E">
        <w:rPr>
          <w:rFonts w:cstheme="minorHAnsi"/>
        </w:rPr>
        <w:t xml:space="preserve"> </w:t>
      </w:r>
      <w:r w:rsidR="00D13434">
        <w:rPr>
          <w:rFonts w:cstheme="minorHAnsi"/>
        </w:rPr>
        <w:t>von</w:t>
      </w:r>
      <w:r w:rsidR="00D13434" w:rsidRPr="0070469E">
        <w:rPr>
          <w:rFonts w:cstheme="minorHAnsi"/>
        </w:rPr>
        <w:t xml:space="preserve"> </w:t>
      </w:r>
      <w:r w:rsidRPr="0070469E">
        <w:rPr>
          <w:rFonts w:cstheme="minorHAnsi"/>
        </w:rPr>
        <w:t>Unternehmen und landwirtschaftlichen Betriebe</w:t>
      </w:r>
      <w:r w:rsidR="00D13434">
        <w:rPr>
          <w:rFonts w:cstheme="minorHAnsi"/>
        </w:rPr>
        <w:t>n“</w:t>
      </w:r>
      <w:r w:rsidRPr="0070469E">
        <w:rPr>
          <w:rFonts w:cstheme="minorHAnsi"/>
        </w:rPr>
        <w:t xml:space="preserve"> im Sinne von Nr. 7.1 ANBest-Gk mindestens bis zum Abschluss der Prüfung des Endverwendungsnachweises (nach Ablauf der Zweckbindungsfrist) </w:t>
      </w:r>
      <w:r>
        <w:rPr>
          <w:rFonts w:cstheme="minorHAnsi"/>
        </w:rPr>
        <w:t xml:space="preserve">im Original </w:t>
      </w:r>
      <w:r w:rsidRPr="0070469E">
        <w:rPr>
          <w:rFonts w:cstheme="minorHAnsi"/>
        </w:rPr>
        <w:t xml:space="preserve">vorhalten. </w:t>
      </w:r>
      <w:r>
        <w:rPr>
          <w:rFonts w:cstheme="minorHAnsi"/>
        </w:rPr>
        <w:t>Sonstige</w:t>
      </w:r>
      <w:r w:rsidRPr="0070469E">
        <w:rPr>
          <w:rFonts w:cstheme="minorHAnsi"/>
        </w:rPr>
        <w:t xml:space="preserve"> (Mitteilungs-)</w:t>
      </w:r>
      <w:r w:rsidR="00A64F5C">
        <w:rPr>
          <w:rFonts w:cstheme="minorHAnsi"/>
        </w:rPr>
        <w:t xml:space="preserve"> </w:t>
      </w:r>
      <w:r w:rsidRPr="0070469E">
        <w:rPr>
          <w:rFonts w:cstheme="minorHAnsi"/>
        </w:rPr>
        <w:t>Pflichten des Zuwendungsempfängers, insbesondere etwa nach Nr. 5.2 ANBest-Gk, bleiben unberührt.</w:t>
      </w:r>
    </w:p>
    <w:p w14:paraId="665A99E2" w14:textId="77777777" w:rsidR="006B0EBA" w:rsidRDefault="006B0EBA" w:rsidP="00D1418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3CCE5D80" w14:textId="77777777" w:rsidR="006B0EBA" w:rsidRDefault="006B0EBA" w:rsidP="00D1418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051"/>
        <w:gridCol w:w="650"/>
        <w:gridCol w:w="163"/>
        <w:gridCol w:w="3877"/>
      </w:tblGrid>
      <w:tr w:rsidR="00F91EC3" w:rsidRPr="00F13E0D" w14:paraId="009B3DEC" w14:textId="77777777" w:rsidTr="00B44AC5">
        <w:tc>
          <w:tcPr>
            <w:tcW w:w="3331" w:type="dxa"/>
            <w:tcBorders>
              <w:top w:val="single" w:sz="4" w:space="0" w:color="auto"/>
            </w:tcBorders>
          </w:tcPr>
          <w:p w14:paraId="53E5CEA4" w14:textId="77777777" w:rsidR="00F91EC3" w:rsidRPr="00F13E0D" w:rsidRDefault="00F91EC3" w:rsidP="00D547CD">
            <w:pPr>
              <w:tabs>
                <w:tab w:val="left" w:pos="426"/>
                <w:tab w:val="right" w:pos="214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A5147">
              <w:rPr>
                <w:rFonts w:eastAsia="Times New Roman" w:cstheme="minorHAnsi"/>
                <w:szCs w:val="20"/>
                <w:lang w:eastAsia="de-DE"/>
              </w:rPr>
              <w:t>Ort</w:t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 xml:space="preserve">, </w:t>
            </w:r>
            <w:r w:rsidRPr="00AA5147">
              <w:rPr>
                <w:rFonts w:eastAsia="Times New Roman" w:cstheme="minorHAnsi"/>
                <w:szCs w:val="20"/>
                <w:lang w:eastAsia="de-DE"/>
              </w:rPr>
              <w:t>Datum</w:t>
            </w: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ab/>
            </w:r>
          </w:p>
        </w:tc>
        <w:tc>
          <w:tcPr>
            <w:tcW w:w="1051" w:type="dxa"/>
          </w:tcPr>
          <w:p w14:paraId="32354CEF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50" w:type="dxa"/>
          </w:tcPr>
          <w:p w14:paraId="41D5411E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63" w:type="dxa"/>
            <w:tcBorders>
              <w:top w:val="single" w:sz="4" w:space="0" w:color="auto"/>
            </w:tcBorders>
          </w:tcPr>
          <w:p w14:paraId="2D300300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3877" w:type="dxa"/>
            <w:tcBorders>
              <w:top w:val="single" w:sz="4" w:space="0" w:color="auto"/>
            </w:tcBorders>
          </w:tcPr>
          <w:p w14:paraId="25EFEE71" w14:textId="68F814AA" w:rsidR="00F91EC3" w:rsidRPr="00F13E0D" w:rsidRDefault="00F91EC3" w:rsidP="00AA5147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ind w:left="-70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A5147">
              <w:rPr>
                <w:rFonts w:eastAsia="Times New Roman" w:cstheme="minorHAnsi"/>
                <w:szCs w:val="20"/>
                <w:lang w:eastAsia="de-DE"/>
              </w:rPr>
              <w:t>Unterschrift</w:t>
            </w:r>
            <w:r w:rsidR="00B44AC5">
              <w:rPr>
                <w:rFonts w:eastAsia="Times New Roman" w:cstheme="minorHAnsi"/>
                <w:szCs w:val="20"/>
                <w:lang w:eastAsia="de-DE"/>
              </w:rPr>
              <w:t>(en)</w:t>
            </w:r>
            <w:r w:rsidR="00E81B46" w:rsidRPr="00AA5147">
              <w:rPr>
                <w:rFonts w:eastAsia="Times New Roman" w:cstheme="minorHAnsi"/>
                <w:szCs w:val="20"/>
                <w:lang w:eastAsia="de-DE"/>
              </w:rPr>
              <w:t xml:space="preserve"> </w:t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>v</w:t>
            </w:r>
            <w:r w:rsidR="00E81B46" w:rsidRPr="00AA5147">
              <w:rPr>
                <w:rFonts w:eastAsia="Times New Roman" w:cstheme="minorHAnsi"/>
                <w:szCs w:val="20"/>
                <w:lang w:eastAsia="de-DE"/>
              </w:rPr>
              <w:t>ertretungsberechtigte</w:t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>r Person/en</w:t>
            </w:r>
          </w:p>
        </w:tc>
      </w:tr>
    </w:tbl>
    <w:p w14:paraId="660B481B" w14:textId="77777777" w:rsidR="00BC1DC3" w:rsidRDefault="00BC1DC3" w:rsidP="00BC1DC3">
      <w:pPr>
        <w:ind w:left="2124" w:firstLine="708"/>
        <w:rPr>
          <w:rFonts w:cstheme="minorHAnsi"/>
          <w:sz w:val="20"/>
          <w:szCs w:val="20"/>
        </w:rPr>
      </w:pPr>
    </w:p>
    <w:p w14:paraId="2B5FBB88" w14:textId="6B18FE96" w:rsidR="00BC1DC3" w:rsidRPr="006A0231" w:rsidRDefault="00BC1DC3" w:rsidP="006A0231">
      <w:pPr>
        <w:ind w:left="-426"/>
        <w:jc w:val="center"/>
        <w:rPr>
          <w:rFonts w:cstheme="minorHAnsi"/>
          <w:sz w:val="18"/>
          <w:szCs w:val="20"/>
        </w:rPr>
      </w:pPr>
      <w:r w:rsidRPr="006A0231">
        <w:rPr>
          <w:rFonts w:cstheme="minorHAnsi"/>
          <w:sz w:val="18"/>
          <w:szCs w:val="20"/>
        </w:rPr>
        <w:t xml:space="preserve">(Amts- </w:t>
      </w:r>
      <w:r w:rsidR="006A0231">
        <w:rPr>
          <w:rFonts w:cstheme="minorHAnsi"/>
          <w:sz w:val="18"/>
          <w:szCs w:val="20"/>
        </w:rPr>
        <w:t>bzw.</w:t>
      </w:r>
      <w:r w:rsidRPr="006A0231">
        <w:rPr>
          <w:rFonts w:cstheme="minorHAnsi"/>
          <w:sz w:val="18"/>
          <w:szCs w:val="20"/>
        </w:rPr>
        <w:t xml:space="preserve"> Dienstsiegel)</w:t>
      </w:r>
    </w:p>
    <w:sectPr w:rsidR="00BC1DC3" w:rsidRPr="006A023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417A7" w14:textId="77777777" w:rsidR="00491D47" w:rsidRDefault="00491D47" w:rsidP="005A12BC">
      <w:pPr>
        <w:spacing w:after="0" w:line="240" w:lineRule="auto"/>
      </w:pPr>
      <w:r>
        <w:separator/>
      </w:r>
    </w:p>
  </w:endnote>
  <w:endnote w:type="continuationSeparator" w:id="0">
    <w:p w14:paraId="13F77552" w14:textId="77777777" w:rsidR="00491D47" w:rsidRDefault="00491D47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68E1" w14:textId="77777777" w:rsidR="00C54897" w:rsidRDefault="00C54897" w:rsidP="00C54897">
    <w:pPr>
      <w:spacing w:after="0"/>
      <w:ind w:right="18"/>
      <w:rPr>
        <w:rFonts w:cstheme="minorHAnsi"/>
        <w:color w:val="7E7E7E"/>
        <w:sz w:val="18"/>
        <w:szCs w:val="18"/>
      </w:rPr>
    </w:pPr>
  </w:p>
  <w:p w14:paraId="28D349C5" w14:textId="77777777" w:rsidR="00C54897" w:rsidRPr="007B7585" w:rsidRDefault="00C54897" w:rsidP="00C54897">
    <w:pPr>
      <w:spacing w:after="0"/>
      <w:ind w:right="18"/>
      <w:rPr>
        <w:rFonts w:cstheme="minorHAnsi"/>
        <w:color w:val="7E7E7E"/>
        <w:sz w:val="18"/>
        <w:szCs w:val="18"/>
      </w:rPr>
    </w:pPr>
    <w:r w:rsidRPr="009A29F4">
      <w:rPr>
        <w:rFonts w:cstheme="minorHAnsi"/>
        <w:color w:val="7E7E7E"/>
        <w:sz w:val="18"/>
        <w:szCs w:val="18"/>
      </w:rPr>
      <w:t xml:space="preserve">Status: </w:t>
    </w:r>
    <w:r w:rsidRPr="007B7585">
      <w:rPr>
        <w:rFonts w:cstheme="minorHAnsi"/>
        <w:color w:val="7E7E7E"/>
        <w:sz w:val="18"/>
        <w:szCs w:val="18"/>
      </w:rPr>
      <w:t xml:space="preserve">Version </w:t>
    </w:r>
    <w:r>
      <w:rPr>
        <w:rFonts w:cstheme="minorHAnsi"/>
        <w:color w:val="7E7E7E"/>
        <w:sz w:val="18"/>
        <w:szCs w:val="18"/>
      </w:rPr>
      <w:t>1.0</w:t>
    </w:r>
    <w:r w:rsidRPr="009A29F4">
      <w:rPr>
        <w:rFonts w:cstheme="minorHAnsi"/>
        <w:color w:val="7E7E7E"/>
        <w:sz w:val="18"/>
        <w:szCs w:val="18"/>
      </w:rPr>
      <w:t xml:space="preserve"> vom </w:t>
    </w:r>
    <w:r>
      <w:rPr>
        <w:rFonts w:cstheme="minorHAnsi"/>
        <w:color w:val="7E7E7E"/>
        <w:sz w:val="18"/>
        <w:szCs w:val="18"/>
      </w:rPr>
      <w:t>27.04</w:t>
    </w:r>
    <w:r w:rsidRPr="009A29F4">
      <w:rPr>
        <w:rFonts w:cstheme="minorHAnsi"/>
        <w:color w:val="7E7E7E"/>
        <w:sz w:val="18"/>
        <w:szCs w:val="18"/>
      </w:rPr>
      <w:t>.</w:t>
    </w:r>
    <w:r w:rsidRPr="007B7585">
      <w:rPr>
        <w:rFonts w:cstheme="minorHAnsi"/>
        <w:color w:val="7E7E7E"/>
        <w:sz w:val="18"/>
        <w:szCs w:val="18"/>
      </w:rPr>
      <w:t xml:space="preserve">2022                                                                                                                               </w:t>
    </w:r>
    <w:r>
      <w:rPr>
        <w:rFonts w:cstheme="minorHAnsi"/>
        <w:color w:val="7E7E7E"/>
        <w:sz w:val="18"/>
        <w:szCs w:val="18"/>
      </w:rPr>
      <w:t xml:space="preserve">       </w:t>
    </w:r>
    <w:r w:rsidRPr="007B7585">
      <w:rPr>
        <w:rFonts w:cstheme="minorHAnsi"/>
        <w:color w:val="7E7E7E"/>
        <w:sz w:val="18"/>
        <w:szCs w:val="18"/>
      </w:rPr>
      <w:t xml:space="preserve"> Seite </w:t>
    </w:r>
    <w:r w:rsidRPr="007B7585">
      <w:rPr>
        <w:rFonts w:cstheme="minorHAnsi"/>
        <w:color w:val="7E7E7E"/>
        <w:sz w:val="18"/>
        <w:szCs w:val="18"/>
      </w:rPr>
      <w:fldChar w:fldCharType="begin"/>
    </w:r>
    <w:r w:rsidRPr="007B7585">
      <w:rPr>
        <w:rFonts w:cstheme="minorHAnsi"/>
        <w:color w:val="7E7E7E"/>
        <w:sz w:val="18"/>
        <w:szCs w:val="18"/>
      </w:rPr>
      <w:instrText xml:space="preserve"> PAGE   \* MERGEFORMAT </w:instrText>
    </w:r>
    <w:r w:rsidRPr="007B7585">
      <w:rPr>
        <w:rFonts w:cstheme="minorHAnsi"/>
        <w:color w:val="7E7E7E"/>
        <w:sz w:val="18"/>
        <w:szCs w:val="18"/>
      </w:rPr>
      <w:fldChar w:fldCharType="separate"/>
    </w:r>
    <w:r>
      <w:rPr>
        <w:rFonts w:cstheme="minorHAnsi"/>
        <w:color w:val="7E7E7E"/>
        <w:sz w:val="18"/>
        <w:szCs w:val="18"/>
      </w:rPr>
      <w:t>2</w:t>
    </w:r>
    <w:r w:rsidRPr="007B7585">
      <w:rPr>
        <w:rFonts w:cstheme="minorHAnsi"/>
        <w:color w:val="7E7E7E"/>
        <w:sz w:val="18"/>
        <w:szCs w:val="18"/>
      </w:rPr>
      <w:fldChar w:fldCharType="end"/>
    </w:r>
    <w:r w:rsidRPr="007B7585">
      <w:rPr>
        <w:rFonts w:cstheme="minorHAnsi"/>
        <w:color w:val="7E7E7E"/>
        <w:sz w:val="18"/>
        <w:szCs w:val="18"/>
      </w:rPr>
      <w:t xml:space="preserve"> von </w:t>
    </w:r>
    <w:r w:rsidRPr="007B7585">
      <w:rPr>
        <w:rFonts w:cstheme="minorHAnsi"/>
        <w:color w:val="7E7E7E"/>
        <w:sz w:val="18"/>
        <w:szCs w:val="18"/>
      </w:rPr>
      <w:fldChar w:fldCharType="begin"/>
    </w:r>
    <w:r w:rsidRPr="007B7585">
      <w:rPr>
        <w:rFonts w:cstheme="minorHAnsi"/>
        <w:color w:val="7E7E7E"/>
        <w:sz w:val="18"/>
        <w:szCs w:val="18"/>
      </w:rPr>
      <w:instrText xml:space="preserve"> NUMPAGES  \* Arabic  \* MERGEFORMAT </w:instrText>
    </w:r>
    <w:r w:rsidRPr="007B7585">
      <w:rPr>
        <w:rFonts w:cstheme="minorHAnsi"/>
        <w:color w:val="7E7E7E"/>
        <w:sz w:val="18"/>
        <w:szCs w:val="18"/>
      </w:rPr>
      <w:fldChar w:fldCharType="separate"/>
    </w:r>
    <w:r>
      <w:rPr>
        <w:rFonts w:cstheme="minorHAnsi"/>
        <w:color w:val="7E7E7E"/>
        <w:sz w:val="18"/>
        <w:szCs w:val="18"/>
      </w:rPr>
      <w:t>3</w:t>
    </w:r>
    <w:r w:rsidRPr="007B7585">
      <w:rPr>
        <w:rFonts w:cstheme="minorHAnsi"/>
        <w:color w:val="7E7E7E"/>
        <w:sz w:val="18"/>
        <w:szCs w:val="18"/>
      </w:rPr>
      <w:fldChar w:fldCharType="end"/>
    </w:r>
  </w:p>
  <w:p w14:paraId="5902CF96" w14:textId="77777777" w:rsidR="00C54897" w:rsidRDefault="00C548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37D21" w14:textId="77777777" w:rsidR="00491D47" w:rsidRDefault="00491D47" w:rsidP="005A12BC">
      <w:pPr>
        <w:spacing w:after="0" w:line="240" w:lineRule="auto"/>
      </w:pPr>
      <w:r>
        <w:separator/>
      </w:r>
    </w:p>
  </w:footnote>
  <w:footnote w:type="continuationSeparator" w:id="0">
    <w:p w14:paraId="13DB5995" w14:textId="77777777" w:rsidR="00491D47" w:rsidRDefault="00491D47" w:rsidP="005A12BC">
      <w:pPr>
        <w:spacing w:after="0" w:line="240" w:lineRule="auto"/>
      </w:pPr>
      <w:r>
        <w:continuationSeparator/>
      </w:r>
    </w:p>
  </w:footnote>
  <w:footnote w:id="1">
    <w:p w14:paraId="02BAB443" w14:textId="77777777" w:rsidR="00403B87" w:rsidRDefault="00403B87" w:rsidP="00E968BD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  <w:t>Mitteilung „Konnektivität für einen wettbewerbsfähigen digitalen Binnenmarkt - Hin zu einer europäischen Gigabit-Gesellschaft“ der EU-Kommission vom</w:t>
      </w:r>
      <w:r w:rsidRPr="007244EF">
        <w:t xml:space="preserve"> </w:t>
      </w:r>
      <w:r>
        <w:t xml:space="preserve">14.09.2016, COM(2016) 587 final, abrufbar unter </w:t>
      </w:r>
      <w:hyperlink r:id="rId1" w:history="1">
        <w:r w:rsidRPr="00524364">
          <w:rPr>
            <w:rStyle w:val="Hyperlink"/>
          </w:rPr>
          <w:t>https://eur-lex.europa.eu/legal-content/DE/TXT/?uri=CELEX:52016DC0587</w:t>
        </w:r>
      </w:hyperlink>
      <w:r>
        <w:t xml:space="preserve">. </w:t>
      </w:r>
    </w:p>
  </w:footnote>
  <w:footnote w:id="2">
    <w:p w14:paraId="4FA21BD2" w14:textId="77777777" w:rsidR="00403B87" w:rsidRDefault="00403B87" w:rsidP="00266260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  <w:t xml:space="preserve">Empfehlung der EU-Kommission vom 6. Mai 2003 betreffend die Definition der Kleinstunternehmen sowie der kleinen und mittleren Unternehmen, ABl. EU L 124 vom 20.05.2003, S. 36 ff., abrufbar unter </w:t>
      </w:r>
      <w:hyperlink r:id="rId2" w:history="1">
        <w:r w:rsidRPr="00524364">
          <w:rPr>
            <w:rStyle w:val="Hyperlink"/>
          </w:rPr>
          <w:t>https://eur-lex.europa.eu/legal-content/DE/TXT/?uri=CELEX:52016DC0587</w:t>
        </w:r>
      </w:hyperlink>
      <w:r>
        <w:t xml:space="preserve">. Vgl. dazu auch </w:t>
      </w:r>
      <w:r w:rsidRPr="00932B03">
        <w:t>Europäischen Kommission</w:t>
      </w:r>
      <w:r>
        <w:t xml:space="preserve">, </w:t>
      </w:r>
      <w:r w:rsidRPr="00932B03">
        <w:t>Benutzerleitfaden zur Definition von KMU</w:t>
      </w:r>
      <w:r>
        <w:t>,</w:t>
      </w:r>
      <w:r w:rsidRPr="00932B03">
        <w:t xml:space="preserve"> </w:t>
      </w:r>
      <w:r>
        <w:t>Brüssel 2</w:t>
      </w:r>
      <w:r w:rsidRPr="00932B03">
        <w:t>015</w:t>
      </w:r>
      <w:r>
        <w:t xml:space="preserve">, abrufbar unter </w:t>
      </w:r>
      <w:hyperlink r:id="rId3" w:history="1">
        <w:r w:rsidRPr="00524364">
          <w:rPr>
            <w:rStyle w:val="Hyperlink"/>
          </w:rPr>
          <w:t>http://publications.europa.eu/resource/cellar/79c0ce87-f4dc-11e6-8a35-01aa75ed71a1.0004.01/DOC_1</w:t>
        </w:r>
      </w:hyperlink>
      <w:r>
        <w:t>.</w:t>
      </w:r>
    </w:p>
  </w:footnote>
  <w:footnote w:id="3">
    <w:p w14:paraId="19122AF3" w14:textId="77777777" w:rsidR="00E2584E" w:rsidRDefault="00E2584E" w:rsidP="00266260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</w:r>
      <w:r w:rsidR="00595C0D">
        <w:t xml:space="preserve">Der </w:t>
      </w:r>
      <w:r>
        <w:t xml:space="preserve">Begriff „Mitarbeiter“ </w:t>
      </w:r>
      <w:r w:rsidR="00595C0D">
        <w:t xml:space="preserve">umfasst im Sinne der Gleichbehandlung alle Geschlechter; die Verwendung des generischen Maskulinums im Rahmen dieser Erklärung hat ausschließlich redaktionelle Gründe und beinhaltet keinerlei Wertung. </w:t>
      </w:r>
    </w:p>
  </w:footnote>
  <w:footnote w:id="4">
    <w:p w14:paraId="7C4CED5D" w14:textId="4CCB1182" w:rsidR="00124164" w:rsidRDefault="00124164" w:rsidP="00C54897">
      <w:pPr>
        <w:pStyle w:val="Funotentext"/>
        <w:ind w:left="284" w:hanging="284"/>
      </w:pPr>
      <w:r w:rsidRPr="004952E6">
        <w:rPr>
          <w:rStyle w:val="Funotenzeichen"/>
        </w:rPr>
        <w:footnoteRef/>
      </w:r>
      <w:r w:rsidRPr="004952E6">
        <w:t xml:space="preserve"> </w:t>
      </w:r>
      <w:r w:rsidR="00C54897">
        <w:tab/>
      </w:r>
      <w:r w:rsidRPr="004952E6">
        <w:t xml:space="preserve">Als unterversorgt im Sinne von Ziffer 1.1, Absatz 1 </w:t>
      </w:r>
      <w:r w:rsidR="00590AD8">
        <w:t xml:space="preserve">der </w:t>
      </w:r>
      <w:r w:rsidRPr="004952E6">
        <w:t>Gigabit-Richtlinie gelten Endkun</w:t>
      </w:r>
      <w:r w:rsidR="00590AD8" w:rsidRPr="00590AD8">
        <w:t>den, sofern sie nicht über eine</w:t>
      </w:r>
      <w:r w:rsidRPr="004952E6">
        <w:t xml:space="preserve"> Datenrate von mindestens 100 Mbit/s im Download verfügen</w:t>
      </w:r>
      <w:r w:rsidR="003F64E2">
        <w:t xml:space="preserve"> bzw. keine Aufrüstung</w:t>
      </w:r>
      <w:r w:rsidR="008D1293">
        <w:t xml:space="preserve"> des Netzes</w:t>
      </w:r>
      <w:r w:rsidR="003F64E2">
        <w:t xml:space="preserve"> innerhalb eines Jahres nach Meldung im Markterkundungsverfahren erfolgt oder in denen in den kommenden drei Jahren von privaten Unternehmen kein solches Netz errichtet wird</w:t>
      </w:r>
      <w:r w:rsidRPr="00590AD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B8926C3"/>
    <w:multiLevelType w:val="hybridMultilevel"/>
    <w:tmpl w:val="73364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1D28"/>
    <w:multiLevelType w:val="hybridMultilevel"/>
    <w:tmpl w:val="31281B38"/>
    <w:lvl w:ilvl="0" w:tplc="CF7658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461C6F9F"/>
    <w:multiLevelType w:val="hybridMultilevel"/>
    <w:tmpl w:val="0FBAD0F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517A6"/>
    <w:multiLevelType w:val="hybridMultilevel"/>
    <w:tmpl w:val="C3D2EDD8"/>
    <w:lvl w:ilvl="0" w:tplc="EEFE1AE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E4AAE"/>
    <w:multiLevelType w:val="hybridMultilevel"/>
    <w:tmpl w:val="A0A20E10"/>
    <w:lvl w:ilvl="0" w:tplc="178A8848">
      <w:start w:val="1"/>
      <w:numFmt w:val="bullet"/>
      <w:lvlText w:val="-"/>
      <w:lvlJc w:val="right"/>
      <w:pPr>
        <w:ind w:left="765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A904B0"/>
    <w:multiLevelType w:val="hybridMultilevel"/>
    <w:tmpl w:val="EBC8DDAA"/>
    <w:lvl w:ilvl="0" w:tplc="DF38E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662E1"/>
    <w:multiLevelType w:val="hybridMultilevel"/>
    <w:tmpl w:val="33A23004"/>
    <w:lvl w:ilvl="0" w:tplc="178A8848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81"/>
    <w:rsid w:val="00006326"/>
    <w:rsid w:val="00007717"/>
    <w:rsid w:val="00012179"/>
    <w:rsid w:val="00017D72"/>
    <w:rsid w:val="00020156"/>
    <w:rsid w:val="000274B3"/>
    <w:rsid w:val="00044CF3"/>
    <w:rsid w:val="000523AB"/>
    <w:rsid w:val="00052F3A"/>
    <w:rsid w:val="00054826"/>
    <w:rsid w:val="0007206E"/>
    <w:rsid w:val="00073984"/>
    <w:rsid w:val="0008148A"/>
    <w:rsid w:val="00087977"/>
    <w:rsid w:val="000A6EC3"/>
    <w:rsid w:val="000B0618"/>
    <w:rsid w:val="000C51D5"/>
    <w:rsid w:val="000D4F06"/>
    <w:rsid w:val="000D502A"/>
    <w:rsid w:val="000F2C5D"/>
    <w:rsid w:val="000F65EB"/>
    <w:rsid w:val="0010094A"/>
    <w:rsid w:val="001021A9"/>
    <w:rsid w:val="00105071"/>
    <w:rsid w:val="00105147"/>
    <w:rsid w:val="001105F0"/>
    <w:rsid w:val="00113146"/>
    <w:rsid w:val="0011737E"/>
    <w:rsid w:val="00124164"/>
    <w:rsid w:val="001309C3"/>
    <w:rsid w:val="0013147A"/>
    <w:rsid w:val="001414A1"/>
    <w:rsid w:val="00143141"/>
    <w:rsid w:val="00144CB4"/>
    <w:rsid w:val="00146692"/>
    <w:rsid w:val="0015531E"/>
    <w:rsid w:val="00160D81"/>
    <w:rsid w:val="00171F49"/>
    <w:rsid w:val="0017538B"/>
    <w:rsid w:val="001915DF"/>
    <w:rsid w:val="001944C9"/>
    <w:rsid w:val="001A1F61"/>
    <w:rsid w:val="001A2A8A"/>
    <w:rsid w:val="001B6DA4"/>
    <w:rsid w:val="001C298B"/>
    <w:rsid w:val="001E4E62"/>
    <w:rsid w:val="001E7764"/>
    <w:rsid w:val="001F3166"/>
    <w:rsid w:val="001F65BE"/>
    <w:rsid w:val="00204C7B"/>
    <w:rsid w:val="00205F07"/>
    <w:rsid w:val="00210E95"/>
    <w:rsid w:val="00226623"/>
    <w:rsid w:val="00242545"/>
    <w:rsid w:val="00256BF1"/>
    <w:rsid w:val="00266260"/>
    <w:rsid w:val="0027594F"/>
    <w:rsid w:val="00287BC4"/>
    <w:rsid w:val="002A34FE"/>
    <w:rsid w:val="002A5E98"/>
    <w:rsid w:val="002A7E7B"/>
    <w:rsid w:val="002C0AD8"/>
    <w:rsid w:val="002C6E6F"/>
    <w:rsid w:val="002E3B91"/>
    <w:rsid w:val="002E6B14"/>
    <w:rsid w:val="0030212A"/>
    <w:rsid w:val="003032E4"/>
    <w:rsid w:val="0031219C"/>
    <w:rsid w:val="00313AA4"/>
    <w:rsid w:val="003278F9"/>
    <w:rsid w:val="00331190"/>
    <w:rsid w:val="00335189"/>
    <w:rsid w:val="00345FF5"/>
    <w:rsid w:val="00355769"/>
    <w:rsid w:val="00370897"/>
    <w:rsid w:val="00391F94"/>
    <w:rsid w:val="00397B37"/>
    <w:rsid w:val="003C2E31"/>
    <w:rsid w:val="003C4FC1"/>
    <w:rsid w:val="003C7FB2"/>
    <w:rsid w:val="003E5580"/>
    <w:rsid w:val="003E7D1A"/>
    <w:rsid w:val="003F0B2A"/>
    <w:rsid w:val="003F40C8"/>
    <w:rsid w:val="003F64E2"/>
    <w:rsid w:val="00401332"/>
    <w:rsid w:val="00403B87"/>
    <w:rsid w:val="004160B0"/>
    <w:rsid w:val="00425656"/>
    <w:rsid w:val="00435B22"/>
    <w:rsid w:val="00435C04"/>
    <w:rsid w:val="004406C9"/>
    <w:rsid w:val="00446C92"/>
    <w:rsid w:val="004508D3"/>
    <w:rsid w:val="00452D64"/>
    <w:rsid w:val="004534FF"/>
    <w:rsid w:val="0045669C"/>
    <w:rsid w:val="00467ECE"/>
    <w:rsid w:val="004749DA"/>
    <w:rsid w:val="00490BC2"/>
    <w:rsid w:val="00491D47"/>
    <w:rsid w:val="004920FF"/>
    <w:rsid w:val="004952E6"/>
    <w:rsid w:val="004A4EA1"/>
    <w:rsid w:val="004B1F01"/>
    <w:rsid w:val="004B55E6"/>
    <w:rsid w:val="004C048D"/>
    <w:rsid w:val="004D16EA"/>
    <w:rsid w:val="004E2B3D"/>
    <w:rsid w:val="004E47BC"/>
    <w:rsid w:val="004E6F80"/>
    <w:rsid w:val="00503B57"/>
    <w:rsid w:val="0051183E"/>
    <w:rsid w:val="00514C09"/>
    <w:rsid w:val="00524B2D"/>
    <w:rsid w:val="00533A1B"/>
    <w:rsid w:val="005351B2"/>
    <w:rsid w:val="00537B6A"/>
    <w:rsid w:val="0056711C"/>
    <w:rsid w:val="00581716"/>
    <w:rsid w:val="00586137"/>
    <w:rsid w:val="00590AD8"/>
    <w:rsid w:val="00595C0D"/>
    <w:rsid w:val="0059787D"/>
    <w:rsid w:val="005A12BC"/>
    <w:rsid w:val="005A1F5A"/>
    <w:rsid w:val="005D09EB"/>
    <w:rsid w:val="005D3F3C"/>
    <w:rsid w:val="005D6B93"/>
    <w:rsid w:val="005E50F6"/>
    <w:rsid w:val="005E6ED8"/>
    <w:rsid w:val="006122B4"/>
    <w:rsid w:val="006148A7"/>
    <w:rsid w:val="0063123E"/>
    <w:rsid w:val="0063505F"/>
    <w:rsid w:val="00650BE3"/>
    <w:rsid w:val="006530D2"/>
    <w:rsid w:val="006553E1"/>
    <w:rsid w:val="0066046D"/>
    <w:rsid w:val="00666EA6"/>
    <w:rsid w:val="00675F97"/>
    <w:rsid w:val="00681163"/>
    <w:rsid w:val="0068127E"/>
    <w:rsid w:val="006A0231"/>
    <w:rsid w:val="006A0722"/>
    <w:rsid w:val="006A5F2A"/>
    <w:rsid w:val="006B0EBA"/>
    <w:rsid w:val="006B7758"/>
    <w:rsid w:val="006C0117"/>
    <w:rsid w:val="006C1597"/>
    <w:rsid w:val="006C212F"/>
    <w:rsid w:val="006C34BB"/>
    <w:rsid w:val="006D7756"/>
    <w:rsid w:val="006E70E2"/>
    <w:rsid w:val="006F4F76"/>
    <w:rsid w:val="0070469E"/>
    <w:rsid w:val="007244EF"/>
    <w:rsid w:val="00727462"/>
    <w:rsid w:val="007366BE"/>
    <w:rsid w:val="00741C50"/>
    <w:rsid w:val="0074611F"/>
    <w:rsid w:val="00750AA9"/>
    <w:rsid w:val="00766F12"/>
    <w:rsid w:val="00773F0E"/>
    <w:rsid w:val="0079584C"/>
    <w:rsid w:val="007965A9"/>
    <w:rsid w:val="007C64B2"/>
    <w:rsid w:val="007D4C74"/>
    <w:rsid w:val="007D5AEF"/>
    <w:rsid w:val="007E3D71"/>
    <w:rsid w:val="00811D22"/>
    <w:rsid w:val="00815A5E"/>
    <w:rsid w:val="00815BCD"/>
    <w:rsid w:val="008232D0"/>
    <w:rsid w:val="0083014C"/>
    <w:rsid w:val="00831AD0"/>
    <w:rsid w:val="00831D57"/>
    <w:rsid w:val="008331EF"/>
    <w:rsid w:val="0083622A"/>
    <w:rsid w:val="00845357"/>
    <w:rsid w:val="008859B4"/>
    <w:rsid w:val="00890DC6"/>
    <w:rsid w:val="008A398C"/>
    <w:rsid w:val="008B2F23"/>
    <w:rsid w:val="008B6EA1"/>
    <w:rsid w:val="008D1293"/>
    <w:rsid w:val="008E15EB"/>
    <w:rsid w:val="008F2700"/>
    <w:rsid w:val="008F2A87"/>
    <w:rsid w:val="00912D27"/>
    <w:rsid w:val="00932B03"/>
    <w:rsid w:val="00937C1E"/>
    <w:rsid w:val="0094721E"/>
    <w:rsid w:val="0099189F"/>
    <w:rsid w:val="009A4A75"/>
    <w:rsid w:val="009B3A58"/>
    <w:rsid w:val="009C4742"/>
    <w:rsid w:val="009D4DA7"/>
    <w:rsid w:val="009E6534"/>
    <w:rsid w:val="009F2C8A"/>
    <w:rsid w:val="00A000E4"/>
    <w:rsid w:val="00A00706"/>
    <w:rsid w:val="00A05F85"/>
    <w:rsid w:val="00A13D9D"/>
    <w:rsid w:val="00A21465"/>
    <w:rsid w:val="00A23F2F"/>
    <w:rsid w:val="00A25B37"/>
    <w:rsid w:val="00A27EAB"/>
    <w:rsid w:val="00A436EC"/>
    <w:rsid w:val="00A4641F"/>
    <w:rsid w:val="00A5005D"/>
    <w:rsid w:val="00A52624"/>
    <w:rsid w:val="00A54F02"/>
    <w:rsid w:val="00A61D36"/>
    <w:rsid w:val="00A64F5C"/>
    <w:rsid w:val="00A75C3F"/>
    <w:rsid w:val="00A77365"/>
    <w:rsid w:val="00A77540"/>
    <w:rsid w:val="00A77550"/>
    <w:rsid w:val="00AA2046"/>
    <w:rsid w:val="00AA5147"/>
    <w:rsid w:val="00AA542A"/>
    <w:rsid w:val="00AA7E43"/>
    <w:rsid w:val="00AB1E2B"/>
    <w:rsid w:val="00AC478C"/>
    <w:rsid w:val="00AC5B1B"/>
    <w:rsid w:val="00AC742F"/>
    <w:rsid w:val="00AE26A8"/>
    <w:rsid w:val="00AE6416"/>
    <w:rsid w:val="00AF7045"/>
    <w:rsid w:val="00B11A98"/>
    <w:rsid w:val="00B14866"/>
    <w:rsid w:val="00B254E5"/>
    <w:rsid w:val="00B37847"/>
    <w:rsid w:val="00B37E2E"/>
    <w:rsid w:val="00B43543"/>
    <w:rsid w:val="00B44AC5"/>
    <w:rsid w:val="00B54474"/>
    <w:rsid w:val="00B764F6"/>
    <w:rsid w:val="00B77B34"/>
    <w:rsid w:val="00B82BE1"/>
    <w:rsid w:val="00B93868"/>
    <w:rsid w:val="00BB04C4"/>
    <w:rsid w:val="00BB735B"/>
    <w:rsid w:val="00BC1DC3"/>
    <w:rsid w:val="00BC789D"/>
    <w:rsid w:val="00BD2477"/>
    <w:rsid w:val="00BD667A"/>
    <w:rsid w:val="00BD75F9"/>
    <w:rsid w:val="00BE0C75"/>
    <w:rsid w:val="00BE1998"/>
    <w:rsid w:val="00BE34A5"/>
    <w:rsid w:val="00C02D8B"/>
    <w:rsid w:val="00C20880"/>
    <w:rsid w:val="00C239B4"/>
    <w:rsid w:val="00C24FD9"/>
    <w:rsid w:val="00C54897"/>
    <w:rsid w:val="00C607E8"/>
    <w:rsid w:val="00C719F1"/>
    <w:rsid w:val="00C81E60"/>
    <w:rsid w:val="00C87BBC"/>
    <w:rsid w:val="00CA5366"/>
    <w:rsid w:val="00CC12D6"/>
    <w:rsid w:val="00CC782B"/>
    <w:rsid w:val="00CD52A2"/>
    <w:rsid w:val="00CE249C"/>
    <w:rsid w:val="00CF0A3F"/>
    <w:rsid w:val="00CF329E"/>
    <w:rsid w:val="00D048FE"/>
    <w:rsid w:val="00D06C38"/>
    <w:rsid w:val="00D10D4D"/>
    <w:rsid w:val="00D13434"/>
    <w:rsid w:val="00D14188"/>
    <w:rsid w:val="00D15586"/>
    <w:rsid w:val="00D52190"/>
    <w:rsid w:val="00D547CD"/>
    <w:rsid w:val="00D619AD"/>
    <w:rsid w:val="00D71EE9"/>
    <w:rsid w:val="00D926FB"/>
    <w:rsid w:val="00DA6B20"/>
    <w:rsid w:val="00DB1C45"/>
    <w:rsid w:val="00DB3EEC"/>
    <w:rsid w:val="00DC269E"/>
    <w:rsid w:val="00DC4B48"/>
    <w:rsid w:val="00DC7F34"/>
    <w:rsid w:val="00DD0068"/>
    <w:rsid w:val="00DD1A70"/>
    <w:rsid w:val="00DE7AFD"/>
    <w:rsid w:val="00DF43B5"/>
    <w:rsid w:val="00E02833"/>
    <w:rsid w:val="00E0317C"/>
    <w:rsid w:val="00E066E6"/>
    <w:rsid w:val="00E06BD4"/>
    <w:rsid w:val="00E175CC"/>
    <w:rsid w:val="00E2584E"/>
    <w:rsid w:val="00E260B3"/>
    <w:rsid w:val="00E36ADE"/>
    <w:rsid w:val="00E4495F"/>
    <w:rsid w:val="00E50FCC"/>
    <w:rsid w:val="00E523E5"/>
    <w:rsid w:val="00E64A0A"/>
    <w:rsid w:val="00E67460"/>
    <w:rsid w:val="00E7191A"/>
    <w:rsid w:val="00E74B6E"/>
    <w:rsid w:val="00E7524D"/>
    <w:rsid w:val="00E8024D"/>
    <w:rsid w:val="00E81B46"/>
    <w:rsid w:val="00E836CC"/>
    <w:rsid w:val="00E84058"/>
    <w:rsid w:val="00E968BD"/>
    <w:rsid w:val="00E97E31"/>
    <w:rsid w:val="00EC0F1F"/>
    <w:rsid w:val="00ED392A"/>
    <w:rsid w:val="00ED3FEF"/>
    <w:rsid w:val="00ED7D09"/>
    <w:rsid w:val="00EE621B"/>
    <w:rsid w:val="00F04CCB"/>
    <w:rsid w:val="00F12365"/>
    <w:rsid w:val="00F165DB"/>
    <w:rsid w:val="00F313D2"/>
    <w:rsid w:val="00F3501F"/>
    <w:rsid w:val="00F51358"/>
    <w:rsid w:val="00F51E73"/>
    <w:rsid w:val="00F62049"/>
    <w:rsid w:val="00F77699"/>
    <w:rsid w:val="00F91EC3"/>
    <w:rsid w:val="00F9374B"/>
    <w:rsid w:val="00F950D0"/>
    <w:rsid w:val="00FB4644"/>
    <w:rsid w:val="00FB7AFE"/>
    <w:rsid w:val="00FC5CED"/>
    <w:rsid w:val="00FD21E3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1A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244E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s.europa.eu/resource/cellar/79c0ce87-f4dc-11e6-8a35-01aa75ed71a1.0004.01/DOC_1" TargetMode="External"/><Relationship Id="rId2" Type="http://schemas.openxmlformats.org/officeDocument/2006/relationships/hyperlink" Target="https://eur-lex.europa.eu/legal-content/DE/TXT/?uri=CELEX:52016DC0587" TargetMode="External"/><Relationship Id="rId1" Type="http://schemas.openxmlformats.org/officeDocument/2006/relationships/hyperlink" Target="https://eur-lex.europa.eu/legal-content/DE/TXT/?uri=CELEX:52016DC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9F51-5114-4572-926E-A4BD4433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4779</Characters>
  <Application>Microsoft Office Word</Application>
  <DocSecurity>4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2026-03-17T13:35:00Z</dcterms:created>
  <dcterms:modified xsi:type="dcterms:W3CDTF">2026-03-17T13:35:00Z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2022-03-18T10:15:46Z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9c33d2d1-80b5-4929-acdd-76d8cc45e2b2</vt:lpwstr>
  </property>
  <property fmtid="{D5CDD505-2E9C-101B-9397-08002B2CF9AE}" pid="8" name="MSIP_Label_d3d538fd-7cd2-4b8b-bd42-f6ee8cc1e568_ContentBits">
    <vt:lpwstr>0</vt:lpwstr>
  </property>
</Properties>
</file>